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4                                                           </w:t>
      </w:r>
      <w:r>
        <w:rPr>
          <w:rFonts w:ascii="Arial" w:hAnsi="Arial" w:eastAsia="宋体" w:cs="Arial"/>
          <w:b/>
          <w:sz w:val="24"/>
          <w:szCs w:val="24"/>
          <w:lang w:eastAsia="zh-CN"/>
        </w:rPr>
        <w:t>R4-2</w:t>
      </w:r>
      <w:r>
        <w:rPr>
          <w:rFonts w:hint="eastAsia" w:eastAsia="宋体" w:cs="Arial"/>
          <w:b/>
          <w:sz w:val="24"/>
          <w:szCs w:val="24"/>
          <w:lang w:val="en-US" w:eastAsia="zh-CN"/>
        </w:rPr>
        <w:t>501176</w:t>
      </w:r>
      <w:bookmarkStart w:id="3" w:name="_GoBack"/>
      <w:bookmarkEnd w:id="3"/>
      <w:r>
        <w:rPr>
          <w:rFonts w:hint="eastAsia" w:eastAsia="宋体" w:cs="Arial"/>
          <w:b/>
          <w:sz w:val="24"/>
          <w:szCs w:val="24"/>
          <w:lang w:val="en-US" w:eastAsia="zh-CN"/>
        </w:rPr>
        <w:t xml:space="preserve">                              </w:t>
      </w:r>
    </w:p>
    <w:p>
      <w:pPr>
        <w:pStyle w:val="27"/>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Greece</w:t>
      </w:r>
      <w:r>
        <w:rPr>
          <w:rFonts w:ascii="Arial" w:hAnsi="Arial" w:eastAsia="宋体" w:cs="Arial"/>
          <w:b/>
          <w:sz w:val="24"/>
          <w:szCs w:val="24"/>
          <w:lang w:eastAsia="zh-CN"/>
        </w:rPr>
        <w:t xml:space="preserve">, </w:t>
      </w:r>
      <w:r>
        <w:rPr>
          <w:rFonts w:hint="eastAsia" w:eastAsia="宋体" w:cs="Arial"/>
          <w:b/>
          <w:sz w:val="24"/>
          <w:szCs w:val="24"/>
          <w:lang w:val="en-US" w:eastAsia="zh-CN"/>
        </w:rPr>
        <w:t>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21</w:t>
      </w:r>
      <w:r>
        <w:rPr>
          <w:rFonts w:hint="eastAsia"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eastAsia="宋体" w:cs="Arial"/>
          <w:b/>
          <w:sz w:val="24"/>
          <w:szCs w:val="24"/>
          <w:lang w:val="en-US" w:eastAsia="zh-CN"/>
        </w:rPr>
        <w:t>February</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less than 5MHz in NTN enhancement</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7.10.3.4</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spacing w:beforeLines="50" w:after="0" w:afterLines="50"/>
        <w:jc w:val="both"/>
        <w:rPr>
          <w:rFonts w:hint="default" w:eastAsia="宋体"/>
          <w:sz w:val="22"/>
          <w:szCs w:val="22"/>
          <w:lang w:val="en-US" w:eastAsia="zh-CN"/>
        </w:rPr>
      </w:pPr>
      <w:r>
        <w:rPr>
          <w:rFonts w:hint="eastAsia" w:eastAsia="宋体"/>
          <w:sz w:val="22"/>
          <w:szCs w:val="22"/>
          <w:lang w:val="en-US" w:eastAsia="zh-CN"/>
        </w:rPr>
        <w:t>At RAN 104# meeting, the revised WID on NR NTN evolution [1] has been approved, and several objectives in the WID have RAN4 RRM involvement. In the last meeting we provided our initial views on potential impacts on RRM requirements and in this meeting we will continue to study the concrete RRM requirements.</w:t>
      </w:r>
    </w:p>
    <w:p>
      <w:pPr>
        <w:pStyle w:val="76"/>
        <w:rPr>
          <w:lang w:val="en-US"/>
        </w:rPr>
      </w:pPr>
      <w:r>
        <w:rPr>
          <w:lang w:val="en-US"/>
        </w:rPr>
        <w:t>Discussion</w:t>
      </w:r>
    </w:p>
    <w:p>
      <w:pPr>
        <w:rPr>
          <w:rFonts w:hint="default"/>
          <w:lang w:val="en-US" w:eastAsia="zh-CN"/>
        </w:rPr>
      </w:pPr>
      <w:r>
        <w:rPr>
          <w:rFonts w:hint="eastAsia"/>
          <w:lang w:val="en-US" w:eastAsia="zh-CN"/>
        </w:rPr>
        <w:t xml:space="preserve">The objectives of Rel-19 in NR NTN evolution are described in [1] including: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20" w:beforeLines="50" w:after="120" w:afterLines="50"/>
              <w:jc w:val="left"/>
              <w:rPr>
                <w:rFonts w:hint="default" w:ascii="Times New Roman" w:hAnsi="Times New Roman" w:eastAsia="宋体" w:cs="Times New Roman"/>
                <w:kern w:val="0"/>
                <w:sz w:val="20"/>
                <w:szCs w:val="20"/>
                <w:lang w:val="en-US" w:eastAsia="zh-CN"/>
              </w:rPr>
            </w:pPr>
            <w:r>
              <w:rPr>
                <w:rFonts w:hint="eastAsia" w:eastAsia="宋体" w:cs="Times New Roman"/>
                <w:bCs/>
                <w:kern w:val="0"/>
                <w:sz w:val="20"/>
                <w:szCs w:val="20"/>
                <w:lang w:val="en-US" w:eastAsia="zh-CN"/>
              </w:rPr>
              <w:t>2.1 Less than 5MHz for NTN</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In this meeting, we will discuss the scenarios and express our views on potential impact to RRM requirements towards the above objective</w:t>
      </w:r>
    </w:p>
    <w:p>
      <w:pPr>
        <w:pStyle w:val="78"/>
        <w:numPr>
          <w:ilvl w:val="1"/>
          <w:numId w:val="0"/>
        </w:numPr>
        <w:bidi w:val="0"/>
        <w:rPr>
          <w:rFonts w:hint="default"/>
          <w:lang w:val="en-US" w:eastAsia="zh-CN"/>
        </w:rPr>
      </w:pPr>
      <w:r>
        <w:rPr>
          <w:rFonts w:hint="eastAsia"/>
          <w:lang w:val="en-US" w:eastAsia="zh-CN"/>
        </w:rPr>
        <w:t>2.1 Less than 5MHz for NTN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jc w:val="both"/>
              <w:rPr>
                <w:b/>
              </w:rPr>
            </w:pPr>
            <w:r>
              <w:rPr>
                <w:b/>
              </w:rPr>
              <w:t>Less than 5MHz for NTN</w:t>
            </w:r>
          </w:p>
          <w:p>
            <w:pPr>
              <w:pStyle w:val="72"/>
              <w:numPr>
                <w:ilvl w:val="0"/>
                <w:numId w:val="3"/>
              </w:numPr>
              <w:ind w:firstLineChars="0"/>
              <w:jc w:val="left"/>
              <w:rPr>
                <w:rFonts w:ascii="Times New Roman" w:hAnsi="Times New Roman" w:cs="Times New Roman"/>
                <w:sz w:val="20"/>
                <w:szCs w:val="20"/>
              </w:rPr>
            </w:pPr>
            <w:r>
              <w:rPr>
                <w:rFonts w:ascii="Times New Roman" w:hAnsi="Times New Roman" w:cs="Times New Roman"/>
                <w:sz w:val="20"/>
                <w:szCs w:val="20"/>
              </w:rPr>
              <w:t>Specify the system parameters for channel bandwidth of less than 5 MHz for NR-NTN (NR based Non-Terrestrial Networks) in FR1-NTN bands</w:t>
            </w:r>
          </w:p>
          <w:p>
            <w:pPr>
              <w:pStyle w:val="72"/>
              <w:numPr>
                <w:ilvl w:val="1"/>
                <w:numId w:val="3"/>
              </w:numPr>
              <w:ind w:firstLineChars="0"/>
              <w:jc w:val="left"/>
              <w:rPr>
                <w:rFonts w:ascii="Times New Roman" w:hAnsi="Times New Roman" w:cs="Times New Roman"/>
                <w:sz w:val="20"/>
                <w:szCs w:val="20"/>
              </w:rPr>
            </w:pPr>
            <w:r>
              <w:rPr>
                <w:rFonts w:hint="eastAsia" w:ascii="Times New Roman" w:hAnsi="Times New Roman" w:cs="Times New Roman"/>
                <w:sz w:val="20"/>
                <w:szCs w:val="20"/>
              </w:rPr>
              <w:t>C</w:t>
            </w:r>
            <w:r>
              <w:rPr>
                <w:rFonts w:ascii="Times New Roman" w:hAnsi="Times New Roman" w:cs="Times New Roman"/>
                <w:sz w:val="20"/>
                <w:szCs w:val="20"/>
              </w:rPr>
              <w:t>onsider the NR-NTN bands n255, n256, and n254</w:t>
            </w:r>
          </w:p>
          <w:p>
            <w:pPr>
              <w:pStyle w:val="72"/>
              <w:numPr>
                <w:ilvl w:val="1"/>
                <w:numId w:val="3"/>
              </w:numPr>
              <w:ind w:firstLineChars="0"/>
              <w:jc w:val="left"/>
              <w:rPr>
                <w:rFonts w:ascii="Times New Roman" w:hAnsi="Times New Roman" w:cs="Times New Roman"/>
                <w:sz w:val="20"/>
                <w:szCs w:val="20"/>
              </w:rPr>
            </w:pPr>
            <w:r>
              <w:rPr>
                <w:rFonts w:ascii="Times New Roman" w:hAnsi="Times New Roman" w:cs="Times New Roman"/>
                <w:sz w:val="20"/>
                <w:szCs w:val="20"/>
              </w:rPr>
              <w:t>Add less than 5MHz channel bandwidth</w:t>
            </w:r>
          </w:p>
          <w:p>
            <w:pPr>
              <w:pStyle w:val="72"/>
              <w:numPr>
                <w:ilvl w:val="2"/>
                <w:numId w:val="3"/>
              </w:numPr>
              <w:ind w:firstLineChars="0"/>
              <w:jc w:val="left"/>
              <w:rPr>
                <w:rFonts w:ascii="Times New Roman" w:hAnsi="Times New Roman" w:cs="Times New Roman"/>
                <w:sz w:val="20"/>
                <w:szCs w:val="20"/>
              </w:rPr>
            </w:pPr>
            <w:r>
              <w:rPr>
                <w:rFonts w:ascii="Times New Roman" w:hAnsi="Times New Roman" w:cs="Times New Roman"/>
                <w:sz w:val="20"/>
                <w:szCs w:val="20"/>
              </w:rPr>
              <w:t xml:space="preserve"> 3MHz with the RAN1 design in Rel-18</w:t>
            </w:r>
          </w:p>
          <w:p>
            <w:pPr>
              <w:pStyle w:val="72"/>
              <w:numPr>
                <w:ilvl w:val="1"/>
                <w:numId w:val="3"/>
              </w:numPr>
              <w:ind w:firstLineChars="0"/>
              <w:jc w:val="left"/>
              <w:rPr>
                <w:rFonts w:ascii="Times New Roman" w:hAnsi="Times New Roman" w:cs="Times New Roman"/>
                <w:sz w:val="20"/>
                <w:szCs w:val="20"/>
              </w:rPr>
            </w:pPr>
            <w:r>
              <w:rPr>
                <w:rFonts w:ascii="Times New Roman" w:hAnsi="Times New Roman" w:cs="Times New Roman"/>
                <w:sz w:val="20"/>
                <w:szCs w:val="20"/>
              </w:rPr>
              <w:t>Investigate and if necessary, specify the additional synchronization (sync) raster(s) for the additional channel bandwidth</w:t>
            </w:r>
          </w:p>
          <w:p>
            <w:pPr>
              <w:pStyle w:val="72"/>
              <w:numPr>
                <w:ilvl w:val="2"/>
                <w:numId w:val="3"/>
              </w:numPr>
              <w:ind w:firstLineChars="0"/>
              <w:jc w:val="left"/>
              <w:rPr>
                <w:rFonts w:ascii="Times New Roman" w:hAnsi="Times New Roman" w:cs="Times New Roman"/>
                <w:sz w:val="20"/>
                <w:szCs w:val="20"/>
              </w:rPr>
            </w:pPr>
            <w:r>
              <w:rPr>
                <w:rFonts w:ascii="Times New Roman" w:hAnsi="Times New Roman" w:cs="Times New Roman"/>
                <w:sz w:val="20"/>
                <w:szCs w:val="20"/>
              </w:rPr>
              <w:t>Leverage the work on less than 5MHz for TN</w:t>
            </w:r>
          </w:p>
          <w:p>
            <w:pPr>
              <w:pStyle w:val="72"/>
              <w:numPr>
                <w:ilvl w:val="1"/>
                <w:numId w:val="3"/>
              </w:numPr>
              <w:ind w:firstLineChars="0"/>
              <w:jc w:val="left"/>
              <w:rPr>
                <w:rFonts w:ascii="Times New Roman" w:hAnsi="Times New Roman" w:cs="Times New Roman"/>
                <w:sz w:val="20"/>
                <w:szCs w:val="20"/>
              </w:rPr>
            </w:pPr>
            <w:r>
              <w:rPr>
                <w:rFonts w:hint="eastAsia" w:ascii="Times New Roman" w:hAnsi="Times New Roman" w:cs="Times New Roman"/>
                <w:sz w:val="20"/>
                <w:szCs w:val="20"/>
              </w:rPr>
              <w:t>Note: no RAN1 impact is expected</w:t>
            </w:r>
          </w:p>
          <w:p>
            <w:pPr>
              <w:pStyle w:val="72"/>
              <w:numPr>
                <w:ilvl w:val="0"/>
                <w:numId w:val="3"/>
              </w:numPr>
              <w:ind w:firstLineChars="0"/>
              <w:jc w:val="left"/>
              <w:rPr>
                <w:rFonts w:ascii="Times New Roman" w:hAnsi="Times New Roman" w:cs="Times New Roman"/>
                <w:sz w:val="20"/>
                <w:szCs w:val="20"/>
              </w:rPr>
            </w:pPr>
            <w:r>
              <w:rPr>
                <w:rFonts w:ascii="Times New Roman" w:hAnsi="Times New Roman" w:cs="Times New Roman"/>
                <w:sz w:val="20"/>
                <w:szCs w:val="20"/>
              </w:rPr>
              <w:t>Specify the necessary SAN RF core requirements for NR-NTN in FR1-NTN bands</w:t>
            </w:r>
          </w:p>
          <w:p>
            <w:pPr>
              <w:pStyle w:val="72"/>
              <w:numPr>
                <w:ilvl w:val="0"/>
                <w:numId w:val="3"/>
              </w:numPr>
              <w:ind w:firstLineChars="0"/>
              <w:jc w:val="left"/>
              <w:rPr>
                <w:rFonts w:ascii="Times New Roman" w:hAnsi="Times New Roman" w:cs="Times New Roman"/>
                <w:sz w:val="20"/>
                <w:szCs w:val="20"/>
              </w:rPr>
            </w:pPr>
            <w:r>
              <w:rPr>
                <w:rFonts w:ascii="Times New Roman" w:hAnsi="Times New Roman" w:cs="Times New Roman"/>
                <w:sz w:val="20"/>
                <w:szCs w:val="20"/>
              </w:rPr>
              <w:t>Specify the necessary NR-NTN UE RF core requirements for less than 5 MHz for NR-NTN in FR1-NTN bands</w:t>
            </w:r>
          </w:p>
          <w:p>
            <w:pPr>
              <w:pStyle w:val="72"/>
              <w:numPr>
                <w:ilvl w:val="1"/>
                <w:numId w:val="3"/>
              </w:numPr>
              <w:ind w:firstLineChars="0"/>
              <w:jc w:val="left"/>
              <w:rPr>
                <w:rFonts w:ascii="Times New Roman" w:hAnsi="Times New Roman" w:cs="Times New Roman"/>
                <w:sz w:val="20"/>
                <w:szCs w:val="20"/>
              </w:rPr>
            </w:pPr>
            <w:r>
              <w:rPr>
                <w:rFonts w:ascii="Times New Roman" w:hAnsi="Times New Roman" w:cs="Times New Roman"/>
                <w:sz w:val="20"/>
                <w:szCs w:val="20"/>
              </w:rPr>
              <w:t>Focus on power class 3 (PC3) for Tx RF requirements</w:t>
            </w:r>
          </w:p>
          <w:p>
            <w:pPr>
              <w:pStyle w:val="72"/>
              <w:numPr>
                <w:ilvl w:val="0"/>
                <w:numId w:val="3"/>
              </w:numPr>
              <w:ind w:firstLineChars="0"/>
              <w:jc w:val="left"/>
              <w:rPr>
                <w:rFonts w:ascii="Times New Roman" w:hAnsi="Times New Roman" w:cs="Times New Roman"/>
                <w:sz w:val="20"/>
                <w:szCs w:val="20"/>
                <w:highlight w:val="yellow"/>
              </w:rPr>
            </w:pPr>
            <w:r>
              <w:rPr>
                <w:rFonts w:ascii="Times New Roman" w:hAnsi="Times New Roman" w:cs="Times New Roman"/>
                <w:sz w:val="20"/>
                <w:szCs w:val="20"/>
                <w:highlight w:val="yellow"/>
              </w:rPr>
              <w:t>Specify the necessary RRM core requirements for less than 5 MHz for NR-NTN in FR1-NTN bands</w:t>
            </w:r>
          </w:p>
          <w:p>
            <w:pPr>
              <w:pStyle w:val="72"/>
              <w:numPr>
                <w:ilvl w:val="0"/>
                <w:numId w:val="3"/>
              </w:numPr>
              <w:spacing w:after="180"/>
              <w:ind w:firstLineChars="0"/>
              <w:jc w:val="left"/>
              <w:rPr>
                <w:rFonts w:ascii="Times New Roman" w:hAnsi="Times New Roman" w:cs="Times New Roman"/>
                <w:sz w:val="20"/>
                <w:szCs w:val="20"/>
              </w:rPr>
            </w:pPr>
            <w:r>
              <w:rPr>
                <w:rFonts w:ascii="Times New Roman" w:hAnsi="Times New Roman" w:cs="Times New Roman"/>
                <w:sz w:val="20"/>
                <w:szCs w:val="20"/>
              </w:rPr>
              <w:t>Specify the necessary signaling to support the above objectives</w:t>
            </w:r>
          </w:p>
          <w:p>
            <w:pPr>
              <w:numPr>
                <w:ilvl w:val="0"/>
                <w:numId w:val="0"/>
              </w:numPr>
              <w:spacing w:after="0"/>
              <w:ind w:left="360" w:leftChars="0"/>
              <w:rPr>
                <w:rFonts w:ascii="Times New Roman" w:hAnsi="Times New Roman" w:eastAsia="宋体" w:cs="Times New Roman"/>
                <w:kern w:val="0"/>
                <w:sz w:val="20"/>
                <w:szCs w:val="20"/>
              </w:rPr>
            </w:pPr>
          </w:p>
        </w:tc>
      </w:tr>
    </w:tbl>
    <w:p>
      <w:pPr>
        <w:pStyle w:val="4"/>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highlight w:val="none"/>
          <w:lang w:val="en-US" w:eastAsia="zh-CN"/>
        </w:rPr>
      </w:pPr>
      <w:r>
        <w:rPr>
          <w:rFonts w:hint="eastAsia"/>
          <w:highlight w:val="none"/>
          <w:lang w:val="en-US" w:eastAsia="zh-CN"/>
        </w:rPr>
        <w:t>2.1.1 Requirements for NTN less than 5MHz</w:t>
      </w:r>
    </w:p>
    <w:p>
      <w:pPr>
        <w:rPr>
          <w:rFonts w:hint="eastAsia"/>
          <w:lang w:val="en-US" w:eastAsia="zh-CN"/>
        </w:rPr>
      </w:pPr>
      <w:r>
        <w:rPr>
          <w:rFonts w:hint="eastAsia"/>
          <w:lang w:val="en-US" w:eastAsia="zh-CN"/>
        </w:rPr>
        <w:t>In the last meeting , we still have one issue on NTN less than 5MHz and the wayforward can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after="120"/>
              <w:rPr>
                <w:color w:val="0070C0"/>
              </w:rPr>
            </w:pPr>
            <w:r>
              <w:rPr>
                <w:color w:val="0070C0"/>
              </w:rPr>
              <w:t>Wayforward:</w:t>
            </w:r>
          </w:p>
          <w:p>
            <w:pPr>
              <w:pStyle w:val="72"/>
              <w:widowControl w:val="0"/>
              <w:numPr>
                <w:ilvl w:val="0"/>
                <w:numId w:val="4"/>
              </w:numPr>
              <w:overflowPunct/>
              <w:autoSpaceDE/>
              <w:adjustRightInd/>
              <w:snapToGrid w:val="0"/>
              <w:spacing w:after="120"/>
              <w:ind w:firstLineChars="0"/>
              <w:jc w:val="both"/>
              <w:textAlignment w:val="auto"/>
              <w:rPr>
                <w:rFonts w:eastAsiaTheme="minorEastAsia"/>
                <w:bCs/>
                <w:iCs/>
                <w:szCs w:val="21"/>
                <w:lang w:val="en-US" w:eastAsia="zh-CN"/>
              </w:rPr>
            </w:pPr>
            <w:r>
              <w:rPr>
                <w:rFonts w:hint="eastAsia"/>
                <w:bCs/>
                <w:iCs/>
                <w:szCs w:val="21"/>
              </w:rPr>
              <w:t>Option 1:</w:t>
            </w:r>
          </w:p>
          <w:p>
            <w:pPr>
              <w:pStyle w:val="72"/>
              <w:widowControl w:val="0"/>
              <w:numPr>
                <w:ilvl w:val="1"/>
                <w:numId w:val="4"/>
              </w:numPr>
              <w:overflowPunct/>
              <w:autoSpaceDE/>
              <w:adjustRightInd/>
              <w:snapToGrid w:val="0"/>
              <w:spacing w:after="120"/>
              <w:ind w:firstLineChars="0"/>
              <w:textAlignment w:val="auto"/>
              <w:rPr>
                <w:iCs/>
                <w:szCs w:val="21"/>
              </w:rPr>
            </w:pPr>
            <w:r>
              <w:rPr>
                <w:rFonts w:hint="eastAsia"/>
                <w:iCs/>
                <w:szCs w:val="21"/>
              </w:rPr>
              <w:t>The number of SSB samples for Rel-18 NTN measurement requirements (</w:t>
            </w:r>
            <w:r>
              <w:rPr>
                <w:rFonts w:hint="eastAsia"/>
                <w:bCs/>
                <w:iCs/>
                <w:szCs w:val="21"/>
              </w:rPr>
              <w:t>T</w:t>
            </w:r>
            <w:r>
              <w:rPr>
                <w:rFonts w:hint="eastAsia"/>
                <w:bCs/>
                <w:iCs/>
                <w:szCs w:val="21"/>
                <w:vertAlign w:val="subscript"/>
              </w:rPr>
              <w:t>identify_xxx_with_index</w:t>
            </w:r>
            <w:r>
              <w:rPr>
                <w:rFonts w:hint="eastAsia"/>
                <w:bCs/>
                <w:iCs/>
                <w:szCs w:val="21"/>
              </w:rPr>
              <w:t>)</w:t>
            </w:r>
            <w:r>
              <w:rPr>
                <w:rFonts w:hint="eastAsia"/>
                <w:iCs/>
                <w:szCs w:val="21"/>
              </w:rPr>
              <w:t xml:space="preserve"> can be extended to </w:t>
            </w:r>
            <w:r>
              <w:rPr>
                <w:rFonts w:hint="eastAsia"/>
                <w:bCs/>
                <w:iCs/>
                <w:szCs w:val="21"/>
              </w:rPr>
              <w:t>will be extended by [4] and [3] for intra-frequency and inter-frequency cases respectively</w:t>
            </w:r>
            <w:r>
              <w:rPr>
                <w:rFonts w:hint="eastAsia"/>
                <w:iCs/>
                <w:szCs w:val="21"/>
              </w:rPr>
              <w:t>.</w:t>
            </w:r>
          </w:p>
          <w:p>
            <w:pPr>
              <w:pStyle w:val="72"/>
              <w:widowControl w:val="0"/>
              <w:numPr>
                <w:ilvl w:val="0"/>
                <w:numId w:val="4"/>
              </w:numPr>
              <w:overflowPunct/>
              <w:autoSpaceDE/>
              <w:autoSpaceDN/>
              <w:adjustRightInd/>
              <w:snapToGrid w:val="0"/>
              <w:spacing w:after="120"/>
              <w:ind w:firstLineChars="0"/>
              <w:jc w:val="both"/>
              <w:textAlignment w:val="auto"/>
              <w:rPr>
                <w:bCs/>
                <w:iCs/>
                <w:szCs w:val="21"/>
              </w:rPr>
            </w:pPr>
            <w:r>
              <w:rPr>
                <w:rFonts w:hint="eastAsia"/>
                <w:bCs/>
                <w:iCs/>
                <w:szCs w:val="21"/>
              </w:rPr>
              <w:t xml:space="preserve">Option 2: </w:t>
            </w:r>
            <w:r>
              <w:rPr>
                <w:bCs/>
                <w:iCs/>
                <w:szCs w:val="21"/>
              </w:rPr>
              <w:t>Two sets of requirements</w:t>
            </w:r>
          </w:p>
          <w:p>
            <w:pPr>
              <w:pStyle w:val="72"/>
              <w:widowControl w:val="0"/>
              <w:numPr>
                <w:ilvl w:val="1"/>
                <w:numId w:val="4"/>
              </w:numPr>
              <w:overflowPunct/>
              <w:autoSpaceDE/>
              <w:autoSpaceDN/>
              <w:adjustRightInd/>
              <w:snapToGrid w:val="0"/>
              <w:spacing w:after="120"/>
              <w:ind w:left="1656" w:firstLineChars="0"/>
              <w:textAlignment w:val="auto"/>
              <w:rPr>
                <w:iCs/>
                <w:szCs w:val="21"/>
              </w:rPr>
            </w:pPr>
            <w:r>
              <w:rPr>
                <w:iCs/>
                <w:szCs w:val="21"/>
              </w:rPr>
              <w:t>Set 1: The number of SSB samples for Rel-18 NTN measurement requirements (</w:t>
            </w:r>
            <w:r>
              <w:rPr>
                <w:bCs/>
                <w:iCs/>
                <w:szCs w:val="21"/>
              </w:rPr>
              <w:t>T</w:t>
            </w:r>
            <w:r>
              <w:rPr>
                <w:bCs/>
                <w:iCs/>
                <w:szCs w:val="21"/>
                <w:vertAlign w:val="subscript"/>
              </w:rPr>
              <w:t>identify_xxx_with_index</w:t>
            </w:r>
            <w:r>
              <w:rPr>
                <w:bCs/>
                <w:iCs/>
                <w:szCs w:val="21"/>
              </w:rPr>
              <w:t>)</w:t>
            </w:r>
            <w:r>
              <w:rPr>
                <w:iCs/>
                <w:szCs w:val="21"/>
              </w:rPr>
              <w:t xml:space="preserve"> can be extended to </w:t>
            </w:r>
            <w:r>
              <w:rPr>
                <w:bCs/>
                <w:iCs/>
                <w:szCs w:val="21"/>
              </w:rPr>
              <w:t>will be extended by [4] and [3] for intra-frequency and inter-frequency cases respectively</w:t>
            </w:r>
            <w:r>
              <w:rPr>
                <w:iCs/>
                <w:szCs w:val="21"/>
              </w:rPr>
              <w:t>.</w:t>
            </w:r>
          </w:p>
          <w:p>
            <w:pPr>
              <w:pStyle w:val="72"/>
              <w:widowControl w:val="0"/>
              <w:numPr>
                <w:ilvl w:val="1"/>
                <w:numId w:val="4"/>
              </w:numPr>
              <w:overflowPunct/>
              <w:autoSpaceDE/>
              <w:autoSpaceDN/>
              <w:adjustRightInd/>
              <w:snapToGrid w:val="0"/>
              <w:spacing w:after="120"/>
              <w:ind w:left="1656" w:firstLineChars="0"/>
              <w:textAlignment w:val="auto"/>
              <w:rPr>
                <w:iCs/>
                <w:szCs w:val="21"/>
              </w:rPr>
            </w:pPr>
            <w:r>
              <w:rPr>
                <w:iCs/>
                <w:szCs w:val="21"/>
              </w:rPr>
              <w:t>Set 2: smaller delay with higher SNR side condition.</w:t>
            </w:r>
          </w:p>
          <w:p>
            <w:pPr>
              <w:pStyle w:val="72"/>
              <w:widowControl w:val="0"/>
              <w:numPr>
                <w:ilvl w:val="2"/>
                <w:numId w:val="4"/>
              </w:numPr>
              <w:overflowPunct/>
              <w:autoSpaceDE/>
              <w:autoSpaceDN/>
              <w:adjustRightInd/>
              <w:snapToGrid w:val="0"/>
              <w:spacing w:after="120"/>
              <w:ind w:firstLineChars="0"/>
              <w:textAlignment w:val="auto"/>
              <w:rPr>
                <w:iCs/>
                <w:szCs w:val="21"/>
              </w:rPr>
            </w:pPr>
            <w:r>
              <w:rPr>
                <w:iCs/>
                <w:szCs w:val="21"/>
              </w:rPr>
              <w:t>FFS on the exact number of delay to be extended base on the simulation results under the same simulation assumptions for TN less than 5MHz [R4-2306400]</w:t>
            </w:r>
          </w:p>
          <w:p>
            <w:pPr>
              <w:pStyle w:val="72"/>
              <w:widowControl w:val="0"/>
              <w:numPr>
                <w:ilvl w:val="2"/>
                <w:numId w:val="4"/>
              </w:numPr>
              <w:overflowPunct/>
              <w:autoSpaceDE/>
              <w:autoSpaceDN/>
              <w:adjustRightInd/>
              <w:snapToGrid w:val="0"/>
              <w:spacing w:after="120"/>
              <w:ind w:firstLineChars="0"/>
              <w:textAlignment w:val="auto"/>
              <w:rPr>
                <w:rFonts w:hint="default"/>
                <w:vertAlign w:val="baseline"/>
                <w:lang w:val="en-US" w:eastAsia="zh-CN"/>
              </w:rPr>
            </w:pPr>
            <w:r>
              <w:rPr>
                <w:iCs/>
                <w:szCs w:val="21"/>
              </w:rPr>
              <w:t>FFS on the separate UE capability to support set 2 requirements</w:t>
            </w:r>
          </w:p>
        </w:tc>
      </w:tr>
    </w:tbl>
    <w:p>
      <w:pPr>
        <w:rPr>
          <w:rFonts w:hint="default"/>
          <w:lang w:val="en-US" w:eastAsia="zh-CN"/>
        </w:rPr>
      </w:pPr>
    </w:p>
    <w:p>
      <w:pPr>
        <w:rPr>
          <w:rFonts w:hint="default"/>
          <w:lang w:val="en-US" w:eastAsia="zh-CN"/>
        </w:rPr>
      </w:pPr>
      <w:r>
        <w:rPr>
          <w:rFonts w:hint="eastAsia"/>
          <w:lang w:val="en-US" w:eastAsia="zh-CN"/>
        </w:rPr>
        <w:t>We also find there is the impact on conditional handover and RAN4 shall consider studying it. Conditional handover contains two parts: Conditional handover with L3 measurement in NTN and Conditional handover without L3 measurement in NTN. In the previous meeting, we have already defined requirements on conditional handover without L3 measurement. In this part we mainly focus on the conditional handover delay with L3 measurement.</w:t>
      </w:r>
    </w:p>
    <w:p>
      <w:pPr>
        <w:rPr>
          <w:rFonts w:hint="default"/>
          <w:lang w:val="en-US" w:eastAsia="zh-CN"/>
        </w:rPr>
      </w:pPr>
      <w:r>
        <w:rPr>
          <w:rFonts w:hint="eastAsia"/>
          <w:b/>
          <w:bCs/>
          <w:i/>
          <w:iCs/>
          <w:lang w:val="en-US" w:eastAsia="zh-CN"/>
        </w:rPr>
        <w:t xml:space="preserve">Conditional handover delay with L3 measurement </w:t>
      </w:r>
    </w:p>
    <w:p>
      <w:pPr>
        <w:rPr>
          <w:rFonts w:hint="eastAsia"/>
          <w:lang w:val="en-US" w:eastAsia="zh-CN"/>
        </w:rPr>
      </w:pPr>
      <w:r>
        <w:rPr>
          <w:rFonts w:hint="eastAsia"/>
          <w:lang w:val="en-US" w:eastAsia="zh-CN"/>
        </w:rPr>
        <w:t>UE shall start RRM measurement before the time or distance condition is met. For the conditional handover delay with L3 measurement, the main handover delay is:</w:t>
      </w:r>
    </w:p>
    <w:p>
      <w:pPr>
        <w:jc w:val="center"/>
        <w:rPr>
          <w:vertAlign w:val="subscript"/>
        </w:rPr>
      </w:pPr>
      <w:r>
        <w:rPr>
          <w:lang w:val="en-US" w:eastAsia="zh-CN"/>
        </w:rPr>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pPr>
        <w:jc w:val="both"/>
        <w:rPr>
          <w:rFonts w:hint="eastAsia"/>
          <w:vertAlign w:val="baseline"/>
          <w:lang w:val="en-US" w:eastAsia="zh-CN"/>
        </w:rPr>
      </w:pPr>
    </w:p>
    <w:p>
      <w:pPr>
        <w:jc w:val="both"/>
        <w:rPr>
          <w:rFonts w:hint="eastAsia"/>
          <w:vertAlign w:val="baseline"/>
          <w:lang w:val="en-US" w:eastAsia="zh-CN"/>
        </w:rPr>
      </w:pPr>
      <w:r>
        <w:rPr>
          <w:rFonts w:hint="eastAsia"/>
          <w:vertAlign w:val="baseline"/>
          <w:lang w:val="en-US" w:eastAsia="zh-CN"/>
        </w:rPr>
        <w:t>The definition of T</w:t>
      </w:r>
      <w:r>
        <w:rPr>
          <w:rFonts w:hint="eastAsia"/>
          <w:vertAlign w:val="subscript"/>
          <w:lang w:val="en-US" w:eastAsia="zh-CN"/>
        </w:rPr>
        <w:t>interrupt</w:t>
      </w:r>
      <w:r>
        <w:rPr>
          <w:rFonts w:hint="eastAsia"/>
          <w:vertAlign w:val="baseline"/>
          <w:lang w:val="en-US" w:eastAsia="zh-CN"/>
        </w:rPr>
        <w:t xml:space="preserve"> is:</w:t>
      </w:r>
    </w:p>
    <w:p>
      <w:pPr>
        <w:pStyle w:val="35"/>
        <w:jc w:val="center"/>
        <w:rPr>
          <w:rFonts w:hint="eastAsia"/>
          <w:vertAlign w:val="baseline"/>
          <w:lang w:val="en-US" w:eastAsia="zh-CN"/>
        </w:rPr>
      </w:pPr>
      <w:r>
        <w:t>T</w:t>
      </w:r>
      <w:r>
        <w:rPr>
          <w:vertAlign w:val="subscript"/>
        </w:rPr>
        <w:t>interrupt</w:t>
      </w:r>
      <w:r>
        <w:t xml:space="preserve"> = T</w:t>
      </w:r>
      <w:r>
        <w:rPr>
          <w:vertAlign w:val="subscript"/>
        </w:rPr>
        <w:t>processing</w:t>
      </w:r>
      <w:r>
        <w:t xml:space="preserve"> + T</w:t>
      </w:r>
      <w:r>
        <w:rPr>
          <w:vertAlign w:val="subscript"/>
        </w:rPr>
        <w:t>IU</w:t>
      </w:r>
      <w:r>
        <w:t xml:space="preserve"> + T</w:t>
      </w:r>
      <w:r>
        <w:rPr>
          <w:vertAlign w:val="subscript"/>
        </w:rPr>
        <w:t>∆</w:t>
      </w:r>
      <w:r>
        <w:t xml:space="preserve"> </w:t>
      </w:r>
      <w:r>
        <w:rPr>
          <w:lang w:eastAsia="zh-CN"/>
        </w:rPr>
        <w:t>+ T</w:t>
      </w:r>
      <w:r>
        <w:rPr>
          <w:vertAlign w:val="subscript"/>
          <w:lang w:eastAsia="zh-CN"/>
        </w:rPr>
        <w:t>margin</w:t>
      </w:r>
      <w:r>
        <w:t xml:space="preserve"> ms</w:t>
      </w:r>
    </w:p>
    <w:p>
      <w:pPr>
        <w:jc w:val="both"/>
        <w:rPr>
          <w:rFonts w:hint="default"/>
          <w:vertAlign w:val="baseline"/>
          <w:lang w:val="en-US" w:eastAsia="zh-CN"/>
        </w:rPr>
      </w:pPr>
      <w:r>
        <w:rPr>
          <w:rFonts w:hint="eastAsia"/>
          <w:vertAlign w:val="baseline"/>
          <w:lang w:val="en-US" w:eastAsia="zh-CN"/>
        </w:rPr>
        <w:t>And the measurement time delay T</w:t>
      </w:r>
      <w:r>
        <w:rPr>
          <w:rFonts w:hint="eastAsia"/>
          <w:vertAlign w:val="subscript"/>
          <w:lang w:val="en-US" w:eastAsia="zh-CN"/>
        </w:rPr>
        <w:t>measure</w:t>
      </w:r>
      <w:r>
        <w:rPr>
          <w:rFonts w:hint="eastAsia"/>
          <w:vertAlign w:val="baseline"/>
          <w:lang w:val="en-US" w:eastAsia="zh-CN"/>
        </w:rPr>
        <w:t xml:space="preserve"> is defined from the end of T</w:t>
      </w:r>
      <w:r>
        <w:rPr>
          <w:rFonts w:hint="eastAsia"/>
          <w:vertAlign w:val="subscript"/>
          <w:lang w:val="en-US" w:eastAsia="zh-CN"/>
        </w:rPr>
        <w:t>Event_DU</w:t>
      </w:r>
      <w:r>
        <w:rPr>
          <w:rFonts w:hint="eastAsia"/>
          <w:vertAlign w:val="baseline"/>
          <w:lang w:val="en-US" w:eastAsia="zh-CN"/>
        </w:rPr>
        <w:t xml:space="preserve"> until UE executes a handover to a target cell and interruption time starts.</w:t>
      </w:r>
    </w:p>
    <w:p>
      <w:pPr>
        <w:jc w:val="both"/>
        <w:rPr>
          <w:rFonts w:hint="eastAsia" w:eastAsia="宋体"/>
          <w:lang w:val="en-US" w:eastAsia="zh-CN"/>
        </w:rPr>
      </w:pPr>
      <w:r>
        <w:rPr>
          <w:rFonts w:hint="eastAsia"/>
          <w:vertAlign w:val="baseline"/>
          <w:lang w:val="en-US" w:eastAsia="zh-CN"/>
        </w:rPr>
        <w:t>Each component has the different definition and we shall focus on the parameters which will be impacted by punctured PBCH. From my perspective, only T</w:t>
      </w:r>
      <w:r>
        <w:rPr>
          <w:rFonts w:hint="eastAsia"/>
          <w:vertAlign w:val="subscript"/>
          <w:lang w:val="en-US" w:eastAsia="zh-CN"/>
        </w:rPr>
        <w:t>measure</w:t>
      </w:r>
      <w:r>
        <w:rPr>
          <w:rFonts w:hint="eastAsia"/>
          <w:vertAlign w:val="baseline"/>
          <w:lang w:val="en-US" w:eastAsia="zh-CN"/>
        </w:rPr>
        <w:t xml:space="preserve"> and T</w:t>
      </w:r>
      <w:r>
        <w:rPr>
          <w:rFonts w:hint="eastAsia"/>
          <w:vertAlign w:val="subscript"/>
          <w:lang w:val="en-US" w:eastAsia="zh-CN"/>
        </w:rPr>
        <w:t>interrupt</w:t>
      </w:r>
      <w:r>
        <w:rPr>
          <w:rFonts w:hint="eastAsia"/>
          <w:vertAlign w:val="baseline"/>
          <w:lang w:val="en-US" w:eastAsia="zh-CN"/>
        </w:rPr>
        <w:t xml:space="preserve"> will be impacted since they depend on PBCH detection. From the TS38.133, we know that the measurement time delay L3 filtering shall be less than </w:t>
      </w:r>
      <w:r>
        <w:t>T</w:t>
      </w:r>
      <w:r>
        <w:rPr>
          <w:sz w:val="13"/>
          <w:szCs w:val="13"/>
        </w:rPr>
        <w:t xml:space="preserve">identify_inter_with_index </w:t>
      </w:r>
      <w:r>
        <w:t>or T</w:t>
      </w:r>
      <w:r>
        <w:rPr>
          <w:sz w:val="13"/>
          <w:szCs w:val="13"/>
        </w:rPr>
        <w:t xml:space="preserve">identify_inter_without_index </w:t>
      </w:r>
      <w:r>
        <w:t xml:space="preserve">defined in clause </w:t>
      </w:r>
      <w:r>
        <w:rPr>
          <w:rFonts w:hint="eastAsia" w:eastAsia="宋体"/>
          <w:lang w:val="en-US" w:eastAsia="zh-CN"/>
        </w:rPr>
        <w:t>nine which is related to T</w:t>
      </w:r>
      <w:r>
        <w:rPr>
          <w:rFonts w:hint="eastAsia" w:eastAsia="宋体"/>
          <w:vertAlign w:val="subscript"/>
          <w:lang w:val="en-US" w:eastAsia="zh-CN"/>
        </w:rPr>
        <w:t>SSB time index</w:t>
      </w:r>
      <w:r>
        <w:rPr>
          <w:rFonts w:hint="eastAsia" w:eastAsia="宋体"/>
          <w:lang w:val="en-US" w:eastAsia="zh-CN"/>
        </w:rPr>
        <w:t xml:space="preserve"> and T</w:t>
      </w:r>
      <w:r>
        <w:rPr>
          <w:rFonts w:hint="eastAsia" w:eastAsia="宋体"/>
          <w:vertAlign w:val="subscript"/>
          <w:lang w:val="en-US" w:eastAsia="zh-CN"/>
        </w:rPr>
        <w:t>PSS/SSS sync</w:t>
      </w:r>
      <w:r>
        <w:rPr>
          <w:rFonts w:hint="eastAsia" w:eastAsia="宋体"/>
          <w:lang w:val="en-US" w:eastAsia="zh-CN"/>
        </w:rPr>
        <w:t>. For T</w:t>
      </w:r>
      <w:r>
        <w:rPr>
          <w:rFonts w:hint="eastAsia" w:eastAsia="宋体"/>
          <w:vertAlign w:val="subscript"/>
          <w:lang w:val="en-US" w:eastAsia="zh-CN"/>
        </w:rPr>
        <w:t>interrupt</w:t>
      </w:r>
      <w:r>
        <w:rPr>
          <w:rFonts w:hint="eastAsia" w:eastAsia="宋体"/>
          <w:lang w:val="en-US" w:eastAsia="zh-CN"/>
        </w:rPr>
        <w:t xml:space="preserve">, it depends on SSB index reading. </w:t>
      </w:r>
    </w:p>
    <w:p>
      <w:pPr>
        <w:jc w:val="both"/>
        <w:rPr>
          <w:rFonts w:hint="eastAsia" w:eastAsia="宋体"/>
          <w:lang w:val="en-US" w:eastAsia="zh-CN"/>
        </w:rPr>
      </w:pPr>
      <w:r>
        <w:rPr>
          <w:rFonts w:hint="eastAsia" w:eastAsia="宋体"/>
          <w:lang w:val="en-US" w:eastAsia="zh-CN"/>
        </w:rPr>
        <w:t>For TΔ, we shall follow the legacy TN extension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overflowPunct w:val="0"/>
              <w:autoSpaceDE w:val="0"/>
              <w:autoSpaceDN w:val="0"/>
              <w:adjustRightInd w:val="0"/>
              <w:spacing w:before="0" w:beforeLines="0" w:after="180" w:afterLines="0"/>
              <w:ind w:left="568" w:hanging="284"/>
              <w:textAlignment w:val="baseline"/>
              <w:rPr>
                <w:rFonts w:eastAsia="Times New Roman"/>
                <w:sz w:val="20"/>
                <w:lang w:eastAsia="en-GB"/>
              </w:rPr>
            </w:pPr>
            <w:r>
              <w:rPr>
                <w:rFonts w:eastAsia="Times New Roman"/>
                <w:sz w:val="20"/>
                <w:lang w:eastAsia="en-GB"/>
              </w:rPr>
              <w:tab/>
            </w:r>
            <w:r>
              <w:rPr>
                <w:rFonts w:eastAsia="Times New Roman"/>
                <w:sz w:val="20"/>
                <w:lang w:eastAsia="en-GB"/>
              </w:rPr>
              <w:t>T</w:t>
            </w:r>
            <w:r>
              <w:rPr>
                <w:rFonts w:eastAsia="Times New Roman"/>
                <w:sz w:val="20"/>
                <w:vertAlign w:val="subscript"/>
                <w:lang w:eastAsia="en-GB"/>
              </w:rPr>
              <w:t>∆</w:t>
            </w:r>
            <w:r>
              <w:rPr>
                <w:rFonts w:eastAsia="Times New Roman"/>
                <w:sz w:val="20"/>
                <w:lang w:eastAsia="en-GB"/>
              </w:rPr>
              <w:t xml:space="preserve"> is time for fine time tracking and acquiring full timing information of the target cell. </w:t>
            </w:r>
          </w:p>
          <w:p>
            <w:pPr>
              <w:overflowPunct w:val="0"/>
              <w:autoSpaceDE w:val="0"/>
              <w:autoSpaceDN w:val="0"/>
              <w:adjustRightInd w:val="0"/>
              <w:spacing w:before="0" w:beforeLines="0" w:after="180" w:afterLines="0"/>
              <w:ind w:left="568" w:hanging="284"/>
              <w:textAlignment w:val="baseline"/>
              <w:rPr>
                <w:rFonts w:eastAsia="Times New Roman"/>
                <w:sz w:val="20"/>
                <w:lang w:eastAsia="en-GB"/>
              </w:rPr>
            </w:pPr>
            <w:r>
              <w:rPr>
                <w:rFonts w:eastAsia="Times New Roman"/>
                <w:sz w:val="20"/>
                <w:lang w:eastAsia="en-GB"/>
              </w:rPr>
              <w:tab/>
            </w:r>
            <w:r>
              <w:rPr>
                <w:rFonts w:eastAsia="Times New Roman"/>
                <w:sz w:val="20"/>
                <w:lang w:eastAsia="en-GB"/>
              </w:rPr>
              <w:t>T</w:t>
            </w:r>
            <w:r>
              <w:rPr>
                <w:rFonts w:eastAsia="Times New Roman"/>
                <w:sz w:val="20"/>
                <w:vertAlign w:val="subscript"/>
                <w:lang w:eastAsia="en-GB"/>
              </w:rPr>
              <w:t>∆</w:t>
            </w:r>
            <w:r>
              <w:rPr>
                <w:rFonts w:eastAsia="Times New Roman"/>
                <w:sz w:val="20"/>
                <w:lang w:eastAsia="en-GB"/>
              </w:rPr>
              <w:t xml:space="preserve"> = T</w:t>
            </w:r>
            <w:r>
              <w:rPr>
                <w:rFonts w:eastAsia="Times New Roman"/>
                <w:sz w:val="20"/>
                <w:vertAlign w:val="subscript"/>
                <w:lang w:eastAsia="en-GB"/>
              </w:rPr>
              <w:t xml:space="preserve">rs </w:t>
            </w:r>
            <w:r>
              <w:rPr>
                <w:rFonts w:eastAsia="Times New Roman"/>
                <w:sz w:val="20"/>
                <w:lang w:eastAsia="en-GB"/>
              </w:rPr>
              <w:t xml:space="preserve">for both known and unknown target cells operating with 20 PRB SSB BW. </w:t>
            </w:r>
          </w:p>
          <w:p>
            <w:pPr>
              <w:overflowPunct w:val="0"/>
              <w:autoSpaceDE w:val="0"/>
              <w:autoSpaceDN w:val="0"/>
              <w:adjustRightInd w:val="0"/>
              <w:spacing w:before="0" w:beforeLines="0" w:after="180" w:afterLines="0"/>
              <w:ind w:left="568" w:hanging="284"/>
              <w:textAlignment w:val="baseline"/>
              <w:rPr>
                <w:rFonts w:eastAsia="Times New Roman"/>
                <w:sz w:val="20"/>
                <w:lang w:eastAsia="en-GB"/>
              </w:rPr>
            </w:pPr>
            <w:r>
              <w:rPr>
                <w:rFonts w:eastAsia="Times New Roman"/>
                <w:sz w:val="20"/>
                <w:lang w:eastAsia="en-GB"/>
              </w:rPr>
              <w:tab/>
            </w:r>
            <w:r>
              <w:rPr>
                <w:rFonts w:eastAsia="Times New Roman"/>
                <w:sz w:val="20"/>
                <w:highlight w:val="green"/>
                <w:lang w:eastAsia="en-GB"/>
              </w:rPr>
              <w:t>T</w:t>
            </w:r>
            <w:r>
              <w:rPr>
                <w:rFonts w:eastAsia="Times New Roman"/>
                <w:sz w:val="20"/>
                <w:highlight w:val="green"/>
                <w:vertAlign w:val="subscript"/>
                <w:lang w:eastAsia="en-GB"/>
              </w:rPr>
              <w:t>∆</w:t>
            </w:r>
            <w:r>
              <w:rPr>
                <w:rFonts w:eastAsia="Times New Roman"/>
                <w:sz w:val="20"/>
                <w:highlight w:val="green"/>
                <w:lang w:eastAsia="en-GB"/>
              </w:rPr>
              <w:t xml:space="preserve"> = 3*T</w:t>
            </w:r>
            <w:r>
              <w:rPr>
                <w:rFonts w:eastAsia="Times New Roman"/>
                <w:sz w:val="20"/>
                <w:highlight w:val="green"/>
                <w:vertAlign w:val="subscript"/>
                <w:lang w:eastAsia="en-GB"/>
              </w:rPr>
              <w:t xml:space="preserve">rs </w:t>
            </w:r>
            <w:r>
              <w:rPr>
                <w:rFonts w:eastAsia="Times New Roman"/>
                <w:sz w:val="20"/>
                <w:highlight w:val="green"/>
                <w:lang w:eastAsia="en-GB"/>
              </w:rPr>
              <w:t>for both known and unknown target cells operating with 12 PRB SSB BW.</w:t>
            </w:r>
            <w:r>
              <w:rPr>
                <w:rFonts w:eastAsia="Times New Roman"/>
                <w:sz w:val="20"/>
                <w:lang w:eastAsia="en-GB"/>
              </w:rPr>
              <w:t xml:space="preserve"> </w:t>
            </w:r>
          </w:p>
        </w:tc>
      </w:tr>
    </w:tbl>
    <w:p>
      <w:pPr>
        <w:jc w:val="both"/>
        <w:rPr>
          <w:rFonts w:hint="default" w:eastAsia="宋体"/>
          <w:vertAlign w:val="baseline"/>
          <w:lang w:val="en-US" w:eastAsia="zh-CN"/>
        </w:rPr>
      </w:pPr>
      <w:r>
        <w:rPr>
          <w:rFonts w:hint="eastAsia" w:eastAsia="宋体"/>
          <w:vertAlign w:val="baseline"/>
          <w:lang w:val="en-US" w:eastAsia="zh-CN"/>
        </w:rPr>
        <w:t>Few companies has one concern that if the Tmeasure and TΔshall be enhanced both. From my perspective, T</w:t>
      </w:r>
      <w:r>
        <w:rPr>
          <w:rFonts w:hint="eastAsia" w:eastAsia="宋体"/>
          <w:vertAlign w:val="subscript"/>
          <w:lang w:val="en-US" w:eastAsia="zh-CN"/>
        </w:rPr>
        <w:t>measure</w:t>
      </w:r>
      <w:r>
        <w:rPr>
          <w:rFonts w:hint="eastAsia" w:eastAsia="宋体"/>
          <w:vertAlign w:val="baseline"/>
          <w:lang w:val="en-US" w:eastAsia="zh-CN"/>
        </w:rPr>
        <w:t xml:space="preserve"> depends on the another clause in TS38.133 and whether  the T</w:t>
      </w:r>
      <w:r>
        <w:rPr>
          <w:rFonts w:hint="eastAsia" w:eastAsia="宋体"/>
          <w:vertAlign w:val="subscript"/>
          <w:lang w:val="en-US" w:eastAsia="zh-CN"/>
        </w:rPr>
        <w:t>measure</w:t>
      </w:r>
      <w:r>
        <w:rPr>
          <w:rFonts w:hint="eastAsia" w:eastAsia="宋体"/>
          <w:vertAlign w:val="baseline"/>
          <w:lang w:val="en-US" w:eastAsia="zh-CN"/>
        </w:rPr>
        <w:t xml:space="preserve"> shall be enhanced or not shall depend on whether RAN4 define new L3 measurement requirements or not. For  TΔ, we shall only follow the same legacy TN  principle.</w:t>
      </w:r>
    </w:p>
    <w:p>
      <w:pPr>
        <w:jc w:val="both"/>
        <w:rPr>
          <w:rFonts w:hint="eastAsia"/>
          <w:b/>
          <w:bCs/>
          <w:vertAlign w:val="baseline"/>
          <w:lang w:val="en-US" w:eastAsia="zh-CN"/>
        </w:rPr>
      </w:pPr>
      <w:r>
        <w:rPr>
          <w:rFonts w:hint="eastAsia" w:eastAsia="宋体"/>
          <w:b/>
          <w:bCs/>
          <w:vertAlign w:val="baseline"/>
          <w:lang w:val="en-US" w:eastAsia="zh-CN"/>
        </w:rPr>
        <w:t xml:space="preserve">Observation 1: </w:t>
      </w:r>
      <w:r>
        <w:rPr>
          <w:rFonts w:hint="eastAsia"/>
          <w:b/>
          <w:bCs/>
          <w:vertAlign w:val="baseline"/>
          <w:lang w:val="en-US" w:eastAsia="zh-CN"/>
        </w:rPr>
        <w:t>T</w:t>
      </w:r>
      <w:r>
        <w:rPr>
          <w:rFonts w:hint="eastAsia"/>
          <w:b/>
          <w:bCs/>
          <w:vertAlign w:val="subscript"/>
          <w:lang w:val="en-US" w:eastAsia="zh-CN"/>
        </w:rPr>
        <w:t>measure</w:t>
      </w:r>
      <w:r>
        <w:rPr>
          <w:rFonts w:hint="eastAsia"/>
          <w:b/>
          <w:bCs/>
          <w:vertAlign w:val="baseline"/>
          <w:lang w:val="en-US" w:eastAsia="zh-CN"/>
        </w:rPr>
        <w:t xml:space="preserve"> and T</w:t>
      </w:r>
      <w:r>
        <w:rPr>
          <w:rFonts w:hint="eastAsia"/>
          <w:b/>
          <w:bCs/>
          <w:vertAlign w:val="subscript"/>
          <w:lang w:val="en-US" w:eastAsia="zh-CN"/>
        </w:rPr>
        <w:t>interrupt</w:t>
      </w:r>
      <w:r>
        <w:rPr>
          <w:rFonts w:hint="eastAsia"/>
          <w:b/>
          <w:bCs/>
          <w:vertAlign w:val="baseline"/>
          <w:lang w:val="en-US" w:eastAsia="zh-CN"/>
        </w:rPr>
        <w:t xml:space="preserve"> will be impacted since they depend on PBCH detection.</w:t>
      </w:r>
    </w:p>
    <w:p>
      <w:pPr>
        <w:jc w:val="both"/>
        <w:rPr>
          <w:rFonts w:hint="eastAsia" w:eastAsia="宋体"/>
          <w:b/>
          <w:bCs/>
          <w:vertAlign w:val="baseline"/>
          <w:lang w:val="en-US" w:eastAsia="zh-CN"/>
        </w:rPr>
      </w:pPr>
      <w:r>
        <w:rPr>
          <w:rFonts w:hint="eastAsia" w:eastAsia="宋体"/>
          <w:b/>
          <w:bCs/>
          <w:vertAlign w:val="baseline"/>
          <w:lang w:val="en-US" w:eastAsia="zh-CN"/>
        </w:rPr>
        <w:t>Proposal 1: Whether the T</w:t>
      </w:r>
      <w:r>
        <w:rPr>
          <w:rFonts w:hint="eastAsia" w:eastAsia="宋体"/>
          <w:b/>
          <w:bCs/>
          <w:vertAlign w:val="subscript"/>
          <w:lang w:val="en-US" w:eastAsia="zh-CN"/>
        </w:rPr>
        <w:t>measure</w:t>
      </w:r>
      <w:r>
        <w:rPr>
          <w:rFonts w:hint="eastAsia" w:eastAsia="宋体"/>
          <w:b/>
          <w:bCs/>
          <w:vertAlign w:val="baseline"/>
          <w:lang w:val="en-US" w:eastAsia="zh-CN"/>
        </w:rPr>
        <w:t xml:space="preserve"> in conditional handover with L3 measurement shall be enhanced or not shall depend on whether RAN4 defines new L3 measurement requirements.</w:t>
      </w:r>
    </w:p>
    <w:p>
      <w:pPr>
        <w:jc w:val="both"/>
        <w:rPr>
          <w:rFonts w:hint="default" w:eastAsia="宋体"/>
          <w:b/>
          <w:bCs/>
          <w:vertAlign w:val="baseline"/>
          <w:lang w:val="en-US" w:eastAsia="zh-CN"/>
        </w:rPr>
      </w:pPr>
      <w:r>
        <w:rPr>
          <w:rFonts w:hint="eastAsia" w:eastAsia="宋体"/>
          <w:b/>
          <w:bCs/>
          <w:vertAlign w:val="baseline"/>
          <w:lang w:val="en-US" w:eastAsia="zh-CN"/>
        </w:rPr>
        <w:t>Proposal 2: TΔ shall be extended to 3*T</w:t>
      </w:r>
      <w:r>
        <w:rPr>
          <w:rFonts w:hint="eastAsia" w:eastAsia="宋体"/>
          <w:b/>
          <w:bCs/>
          <w:vertAlign w:val="subscript"/>
          <w:lang w:val="en-US" w:eastAsia="zh-CN"/>
        </w:rPr>
        <w:t>rs</w:t>
      </w:r>
      <w:r>
        <w:rPr>
          <w:rFonts w:hint="eastAsia" w:eastAsia="宋体"/>
          <w:b/>
          <w:bCs/>
          <w:vertAlign w:val="baseline"/>
          <w:lang w:val="en-US" w:eastAsia="zh-CN"/>
        </w:rPr>
        <w:t>.</w:t>
      </w: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R18 NR NTN enhancement</w:t>
      </w:r>
      <w:r>
        <w:rPr>
          <w:rFonts w:eastAsia="宋体"/>
          <w:lang w:eastAsia="zh-CN"/>
        </w:rPr>
        <w:t>.</w:t>
      </w:r>
    </w:p>
    <w:p>
      <w:pPr>
        <w:jc w:val="both"/>
        <w:rPr>
          <w:rFonts w:hint="eastAsia"/>
          <w:b/>
          <w:bCs/>
          <w:vertAlign w:val="baseline"/>
          <w:lang w:val="en-US" w:eastAsia="zh-CN"/>
        </w:rPr>
      </w:pPr>
      <w:r>
        <w:rPr>
          <w:rFonts w:hint="eastAsia" w:eastAsia="宋体"/>
          <w:b/>
          <w:bCs/>
          <w:vertAlign w:val="baseline"/>
          <w:lang w:val="en-US" w:eastAsia="zh-CN"/>
        </w:rPr>
        <w:t xml:space="preserve">Observation 1: </w:t>
      </w:r>
      <w:r>
        <w:rPr>
          <w:rFonts w:hint="eastAsia"/>
          <w:b/>
          <w:bCs/>
          <w:vertAlign w:val="baseline"/>
          <w:lang w:val="en-US" w:eastAsia="zh-CN"/>
        </w:rPr>
        <w:t>T</w:t>
      </w:r>
      <w:r>
        <w:rPr>
          <w:rFonts w:hint="eastAsia"/>
          <w:b/>
          <w:bCs/>
          <w:vertAlign w:val="subscript"/>
          <w:lang w:val="en-US" w:eastAsia="zh-CN"/>
        </w:rPr>
        <w:t>measure</w:t>
      </w:r>
      <w:r>
        <w:rPr>
          <w:rFonts w:hint="eastAsia"/>
          <w:b/>
          <w:bCs/>
          <w:vertAlign w:val="baseline"/>
          <w:lang w:val="en-US" w:eastAsia="zh-CN"/>
        </w:rPr>
        <w:t xml:space="preserve"> and T</w:t>
      </w:r>
      <w:r>
        <w:rPr>
          <w:rFonts w:hint="eastAsia"/>
          <w:b/>
          <w:bCs/>
          <w:vertAlign w:val="subscript"/>
          <w:lang w:val="en-US" w:eastAsia="zh-CN"/>
        </w:rPr>
        <w:t>interrupt</w:t>
      </w:r>
      <w:r>
        <w:rPr>
          <w:rFonts w:hint="eastAsia"/>
          <w:b/>
          <w:bCs/>
          <w:vertAlign w:val="baseline"/>
          <w:lang w:val="en-US" w:eastAsia="zh-CN"/>
        </w:rPr>
        <w:t xml:space="preserve"> will be impacted since they depend on PBCH detection.</w:t>
      </w:r>
    </w:p>
    <w:p>
      <w:pPr>
        <w:jc w:val="both"/>
        <w:rPr>
          <w:rFonts w:hint="eastAsia" w:eastAsia="宋体"/>
          <w:b/>
          <w:bCs/>
          <w:vertAlign w:val="baseline"/>
          <w:lang w:val="en-US" w:eastAsia="zh-CN"/>
        </w:rPr>
      </w:pPr>
      <w:r>
        <w:rPr>
          <w:rFonts w:hint="eastAsia" w:eastAsia="宋体"/>
          <w:b/>
          <w:bCs/>
          <w:vertAlign w:val="baseline"/>
          <w:lang w:val="en-US" w:eastAsia="zh-CN"/>
        </w:rPr>
        <w:t>Proposal 1: Whether the T</w:t>
      </w:r>
      <w:r>
        <w:rPr>
          <w:rFonts w:hint="eastAsia" w:eastAsia="宋体"/>
          <w:b/>
          <w:bCs/>
          <w:vertAlign w:val="subscript"/>
          <w:lang w:val="en-US" w:eastAsia="zh-CN"/>
        </w:rPr>
        <w:t>measure</w:t>
      </w:r>
      <w:r>
        <w:rPr>
          <w:rFonts w:hint="eastAsia" w:eastAsia="宋体"/>
          <w:b/>
          <w:bCs/>
          <w:vertAlign w:val="baseline"/>
          <w:lang w:val="en-US" w:eastAsia="zh-CN"/>
        </w:rPr>
        <w:t xml:space="preserve"> in conditional handover with L3 measurement shall be enhanced or not shall depend on whether RAN4 defines new L3 measurement requirements.</w:t>
      </w:r>
    </w:p>
    <w:p>
      <w:pPr>
        <w:jc w:val="both"/>
        <w:rPr>
          <w:rFonts w:hint="default" w:eastAsia="宋体"/>
          <w:b/>
          <w:bCs/>
          <w:vertAlign w:val="baseline"/>
          <w:lang w:val="en-US" w:eastAsia="zh-CN"/>
        </w:rPr>
      </w:pPr>
      <w:r>
        <w:rPr>
          <w:rFonts w:hint="eastAsia" w:eastAsia="宋体"/>
          <w:b/>
          <w:bCs/>
          <w:vertAlign w:val="baseline"/>
          <w:lang w:val="en-US" w:eastAsia="zh-CN"/>
        </w:rPr>
        <w:t>Proposal 2: TΔ shall be extended to 3*T</w:t>
      </w:r>
      <w:r>
        <w:rPr>
          <w:rFonts w:hint="eastAsia" w:eastAsia="宋体"/>
          <w:b/>
          <w:bCs/>
          <w:vertAlign w:val="subscript"/>
          <w:lang w:val="en-US" w:eastAsia="zh-CN"/>
        </w:rPr>
        <w:t>rs</w:t>
      </w:r>
      <w:r>
        <w:rPr>
          <w:rFonts w:hint="eastAsia" w:eastAsia="宋体"/>
          <w:b/>
          <w:bCs/>
          <w:vertAlign w:val="baseline"/>
          <w:lang w:val="en-US" w:eastAsia="zh-CN"/>
        </w:rPr>
        <w:t>.</w:t>
      </w:r>
    </w:p>
    <w:p>
      <w:pPr>
        <w:pStyle w:val="76"/>
        <w:numPr>
          <w:ilvl w:val="0"/>
          <w:numId w:val="0"/>
        </w:numPr>
        <w:ind w:left="360" w:hanging="360"/>
        <w:rPr>
          <w:lang w:val="en-US"/>
        </w:rPr>
      </w:pPr>
      <w:r>
        <w:rPr>
          <w:rFonts w:hint="eastAsia"/>
          <w:lang w:val="en-US" w:eastAsia="zh-CN"/>
        </w:rPr>
        <w:t xml:space="preserve">4 </w:t>
      </w:r>
      <w:r>
        <w:rPr>
          <w:lang w:val="en-US"/>
        </w:rPr>
        <w:t>References</w:t>
      </w:r>
    </w:p>
    <w:p>
      <w:pPr>
        <w:numPr>
          <w:ilvl w:val="0"/>
          <w:numId w:val="5"/>
        </w:numPr>
        <w:rPr>
          <w:rFonts w:hint="eastAsia"/>
          <w:lang w:val="en-US" w:eastAsia="zh-CN"/>
        </w:rPr>
      </w:pPr>
      <w:bookmarkStart w:id="2" w:name="_Ref114500673"/>
      <w:bookmarkEnd w:id="2"/>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5"/>
        </w:numPr>
        <w:rPr>
          <w:rFonts w:hint="default"/>
          <w:lang w:val="en-US" w:eastAsia="zh-CN"/>
        </w:rPr>
      </w:pPr>
      <w:r>
        <w:rPr>
          <w:rFonts w:hint="eastAsia"/>
          <w:lang w:val="en-US" w:eastAsia="zh-CN"/>
        </w:rPr>
        <w:t>TS38.133</w:t>
      </w:r>
    </w:p>
    <w:p>
      <w:pPr>
        <w:numPr>
          <w:ilvl w:val="0"/>
          <w:numId w:val="5"/>
        </w:numPr>
        <w:rPr>
          <w:rFonts w:hint="default"/>
          <w:lang w:val="en-US" w:eastAsia="zh-CN"/>
        </w:rPr>
      </w:pPr>
      <w:r>
        <w:rPr>
          <w:rFonts w:hint="eastAsia"/>
          <w:lang w:val="en-US" w:eastAsia="zh-CN"/>
        </w:rPr>
        <w:t xml:space="preserve">R4-2420091, </w:t>
      </w:r>
      <w:r>
        <w:rPr>
          <w:rFonts w:hint="default"/>
          <w:lang w:val="en-US" w:eastAsia="zh-CN"/>
        </w:rPr>
        <w:t>“WF on RRM requirements for NR_IoT_NTN_req_test_enh ”</w:t>
      </w:r>
      <w:r>
        <w:rPr>
          <w:rFonts w:hint="eastAsia"/>
          <w:lang w:val="en-US" w:eastAsia="zh-CN"/>
        </w:rPr>
        <w:t>, Xiaomi.</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5718AD"/>
    <w:multiLevelType w:val="singleLevel"/>
    <w:tmpl w:val="BF5718AD"/>
    <w:lvl w:ilvl="0" w:tentative="0">
      <w:start w:val="1"/>
      <w:numFmt w:val="decimal"/>
      <w:suff w:val="space"/>
      <w:lvlText w:val="[%1]"/>
      <w:lvlJc w:val="left"/>
    </w:lvl>
  </w:abstractNum>
  <w:abstractNum w:abstractNumId="1">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700" w:hanging="360"/>
      </w:pPr>
      <w:rPr>
        <w:rFonts w:hint="default" w:ascii="Courier New" w:hAnsi="Courier New" w:cs="Courier New"/>
      </w:rPr>
    </w:lvl>
    <w:lvl w:ilvl="2" w:tentative="0">
      <w:start w:val="1"/>
      <w:numFmt w:val="bullet"/>
      <w:lvlText w:val=""/>
      <w:lvlJc w:val="left"/>
      <w:pPr>
        <w:ind w:left="1830"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06508"/>
    <w:rsid w:val="003172DC"/>
    <w:rsid w:val="0033338C"/>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B7CA6"/>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536085"/>
    <w:rsid w:val="0158163D"/>
    <w:rsid w:val="01652E48"/>
    <w:rsid w:val="01862D0E"/>
    <w:rsid w:val="018F1743"/>
    <w:rsid w:val="018F25C8"/>
    <w:rsid w:val="01906A5B"/>
    <w:rsid w:val="01907C39"/>
    <w:rsid w:val="019F41BD"/>
    <w:rsid w:val="01CE0603"/>
    <w:rsid w:val="01D51FE8"/>
    <w:rsid w:val="01E70C97"/>
    <w:rsid w:val="01EA15CF"/>
    <w:rsid w:val="021951FF"/>
    <w:rsid w:val="023A59BC"/>
    <w:rsid w:val="02402E7C"/>
    <w:rsid w:val="02505886"/>
    <w:rsid w:val="025A5C68"/>
    <w:rsid w:val="027C74A2"/>
    <w:rsid w:val="029011A2"/>
    <w:rsid w:val="02A03627"/>
    <w:rsid w:val="02B66382"/>
    <w:rsid w:val="02DB4554"/>
    <w:rsid w:val="02DD1CD4"/>
    <w:rsid w:val="02DF0D66"/>
    <w:rsid w:val="02EC4357"/>
    <w:rsid w:val="02EE768C"/>
    <w:rsid w:val="02FA1082"/>
    <w:rsid w:val="031778E0"/>
    <w:rsid w:val="0327096F"/>
    <w:rsid w:val="032737B0"/>
    <w:rsid w:val="032A315A"/>
    <w:rsid w:val="034339E7"/>
    <w:rsid w:val="03481CC2"/>
    <w:rsid w:val="034E163D"/>
    <w:rsid w:val="034F02E2"/>
    <w:rsid w:val="03572405"/>
    <w:rsid w:val="037709BE"/>
    <w:rsid w:val="037A1943"/>
    <w:rsid w:val="03BF3D9F"/>
    <w:rsid w:val="03BF72E7"/>
    <w:rsid w:val="03C80AD2"/>
    <w:rsid w:val="03C95263"/>
    <w:rsid w:val="03CA7EB2"/>
    <w:rsid w:val="03F0584F"/>
    <w:rsid w:val="03FB5627"/>
    <w:rsid w:val="04043AA5"/>
    <w:rsid w:val="04076F95"/>
    <w:rsid w:val="0409766A"/>
    <w:rsid w:val="041D49CF"/>
    <w:rsid w:val="04242812"/>
    <w:rsid w:val="04383CC9"/>
    <w:rsid w:val="04421BA4"/>
    <w:rsid w:val="044B12E0"/>
    <w:rsid w:val="046301A2"/>
    <w:rsid w:val="04732FB8"/>
    <w:rsid w:val="04871DE8"/>
    <w:rsid w:val="048F6485"/>
    <w:rsid w:val="04A12403"/>
    <w:rsid w:val="04A815F7"/>
    <w:rsid w:val="04AB1CB5"/>
    <w:rsid w:val="04AD06A4"/>
    <w:rsid w:val="04BD1E3A"/>
    <w:rsid w:val="04D5637C"/>
    <w:rsid w:val="050C7718"/>
    <w:rsid w:val="0510745B"/>
    <w:rsid w:val="05214F03"/>
    <w:rsid w:val="052F7D10"/>
    <w:rsid w:val="055E02FB"/>
    <w:rsid w:val="05630D81"/>
    <w:rsid w:val="056A3BE2"/>
    <w:rsid w:val="058C4826"/>
    <w:rsid w:val="05AD05DE"/>
    <w:rsid w:val="05AE2916"/>
    <w:rsid w:val="05B1379B"/>
    <w:rsid w:val="05C20597"/>
    <w:rsid w:val="05C6466C"/>
    <w:rsid w:val="05D94925"/>
    <w:rsid w:val="05DB67C3"/>
    <w:rsid w:val="05E60F0C"/>
    <w:rsid w:val="05F02736"/>
    <w:rsid w:val="05F61BB8"/>
    <w:rsid w:val="06026AB1"/>
    <w:rsid w:val="060D0D66"/>
    <w:rsid w:val="061F2E9B"/>
    <w:rsid w:val="062C2061"/>
    <w:rsid w:val="062D43AF"/>
    <w:rsid w:val="06311BAC"/>
    <w:rsid w:val="067C67DB"/>
    <w:rsid w:val="067F65D2"/>
    <w:rsid w:val="068158A4"/>
    <w:rsid w:val="06A05FC0"/>
    <w:rsid w:val="06AE1485"/>
    <w:rsid w:val="06E54956"/>
    <w:rsid w:val="07007517"/>
    <w:rsid w:val="07073FA3"/>
    <w:rsid w:val="070F1174"/>
    <w:rsid w:val="072F7FC6"/>
    <w:rsid w:val="0732584E"/>
    <w:rsid w:val="074109F4"/>
    <w:rsid w:val="07583E9D"/>
    <w:rsid w:val="075A7EF6"/>
    <w:rsid w:val="076202A2"/>
    <w:rsid w:val="076A2A73"/>
    <w:rsid w:val="078759D7"/>
    <w:rsid w:val="07AE506C"/>
    <w:rsid w:val="07C05808"/>
    <w:rsid w:val="07C22AAD"/>
    <w:rsid w:val="07C3764D"/>
    <w:rsid w:val="07C644D1"/>
    <w:rsid w:val="07F66AC5"/>
    <w:rsid w:val="07FA2981"/>
    <w:rsid w:val="081F651B"/>
    <w:rsid w:val="0833764C"/>
    <w:rsid w:val="083F5297"/>
    <w:rsid w:val="084677D5"/>
    <w:rsid w:val="0848005E"/>
    <w:rsid w:val="084B1A9E"/>
    <w:rsid w:val="084C657D"/>
    <w:rsid w:val="084D12F0"/>
    <w:rsid w:val="087B6B61"/>
    <w:rsid w:val="087E40F9"/>
    <w:rsid w:val="08916AA8"/>
    <w:rsid w:val="089F664F"/>
    <w:rsid w:val="08A153B1"/>
    <w:rsid w:val="08A203F3"/>
    <w:rsid w:val="08AF00C1"/>
    <w:rsid w:val="08B531C0"/>
    <w:rsid w:val="08BB1078"/>
    <w:rsid w:val="08BD1F16"/>
    <w:rsid w:val="08C469E4"/>
    <w:rsid w:val="08D53034"/>
    <w:rsid w:val="08DA28B3"/>
    <w:rsid w:val="08DD2BEF"/>
    <w:rsid w:val="0903652D"/>
    <w:rsid w:val="090556C6"/>
    <w:rsid w:val="09104DCD"/>
    <w:rsid w:val="0913040F"/>
    <w:rsid w:val="094C40B4"/>
    <w:rsid w:val="095B4A62"/>
    <w:rsid w:val="09606948"/>
    <w:rsid w:val="096D7D04"/>
    <w:rsid w:val="096E0D4F"/>
    <w:rsid w:val="09736AE0"/>
    <w:rsid w:val="099C4684"/>
    <w:rsid w:val="09BB6580"/>
    <w:rsid w:val="09E30E5D"/>
    <w:rsid w:val="09F25D5F"/>
    <w:rsid w:val="0A1131EF"/>
    <w:rsid w:val="0A141797"/>
    <w:rsid w:val="0A143BE1"/>
    <w:rsid w:val="0A220AAD"/>
    <w:rsid w:val="0A263E9C"/>
    <w:rsid w:val="0A286DFB"/>
    <w:rsid w:val="0A5002F7"/>
    <w:rsid w:val="0A5164D1"/>
    <w:rsid w:val="0A6C43DE"/>
    <w:rsid w:val="0ABC02E8"/>
    <w:rsid w:val="0AC16484"/>
    <w:rsid w:val="0ACB2015"/>
    <w:rsid w:val="0AD20D5E"/>
    <w:rsid w:val="0AD555AC"/>
    <w:rsid w:val="0AED24FC"/>
    <w:rsid w:val="0B0F4A80"/>
    <w:rsid w:val="0B1B1997"/>
    <w:rsid w:val="0B24532C"/>
    <w:rsid w:val="0B3F6621"/>
    <w:rsid w:val="0B46021F"/>
    <w:rsid w:val="0B4D2A88"/>
    <w:rsid w:val="0B527B25"/>
    <w:rsid w:val="0B5B4CA4"/>
    <w:rsid w:val="0B5E04B4"/>
    <w:rsid w:val="0B5E0983"/>
    <w:rsid w:val="0B6A4840"/>
    <w:rsid w:val="0B707256"/>
    <w:rsid w:val="0B7129F9"/>
    <w:rsid w:val="0B744B6D"/>
    <w:rsid w:val="0B7E60C9"/>
    <w:rsid w:val="0B8730CC"/>
    <w:rsid w:val="0B927AF3"/>
    <w:rsid w:val="0B997D22"/>
    <w:rsid w:val="0BA069F6"/>
    <w:rsid w:val="0BB6397D"/>
    <w:rsid w:val="0BC97B63"/>
    <w:rsid w:val="0BD644F2"/>
    <w:rsid w:val="0BE05B3D"/>
    <w:rsid w:val="0BEB139D"/>
    <w:rsid w:val="0BEF4F2C"/>
    <w:rsid w:val="0BF03462"/>
    <w:rsid w:val="0BF56721"/>
    <w:rsid w:val="0C1E2E71"/>
    <w:rsid w:val="0C2D4BD9"/>
    <w:rsid w:val="0C5161F8"/>
    <w:rsid w:val="0C52360D"/>
    <w:rsid w:val="0C6B5BA9"/>
    <w:rsid w:val="0C6E60F3"/>
    <w:rsid w:val="0C7C1976"/>
    <w:rsid w:val="0C830617"/>
    <w:rsid w:val="0CAC6DE2"/>
    <w:rsid w:val="0CBA5E3E"/>
    <w:rsid w:val="0CCB3B11"/>
    <w:rsid w:val="0CDE5118"/>
    <w:rsid w:val="0CDE55BC"/>
    <w:rsid w:val="0CDF3914"/>
    <w:rsid w:val="0CE7776D"/>
    <w:rsid w:val="0CEA2CF7"/>
    <w:rsid w:val="0D035130"/>
    <w:rsid w:val="0D205F17"/>
    <w:rsid w:val="0D23336E"/>
    <w:rsid w:val="0D284B82"/>
    <w:rsid w:val="0D2D1208"/>
    <w:rsid w:val="0D3A5239"/>
    <w:rsid w:val="0D3A7039"/>
    <w:rsid w:val="0D4356A8"/>
    <w:rsid w:val="0D8735F9"/>
    <w:rsid w:val="0D8972A3"/>
    <w:rsid w:val="0D8C24E1"/>
    <w:rsid w:val="0D94436C"/>
    <w:rsid w:val="0D980C13"/>
    <w:rsid w:val="0DB607B8"/>
    <w:rsid w:val="0DC22600"/>
    <w:rsid w:val="0DC51AC4"/>
    <w:rsid w:val="0DC63EF2"/>
    <w:rsid w:val="0DD75C5E"/>
    <w:rsid w:val="0DE9579A"/>
    <w:rsid w:val="0DE969F5"/>
    <w:rsid w:val="0DFF4B13"/>
    <w:rsid w:val="0E0132C0"/>
    <w:rsid w:val="0E041001"/>
    <w:rsid w:val="0E093416"/>
    <w:rsid w:val="0E0C3E0B"/>
    <w:rsid w:val="0E1F1160"/>
    <w:rsid w:val="0E402695"/>
    <w:rsid w:val="0E4F7F50"/>
    <w:rsid w:val="0E5C591E"/>
    <w:rsid w:val="0E6A704C"/>
    <w:rsid w:val="0E6B4543"/>
    <w:rsid w:val="0E777792"/>
    <w:rsid w:val="0E7B1FCA"/>
    <w:rsid w:val="0E880E39"/>
    <w:rsid w:val="0E9D025B"/>
    <w:rsid w:val="0EA8225F"/>
    <w:rsid w:val="0ED01837"/>
    <w:rsid w:val="0ED33A29"/>
    <w:rsid w:val="0ED8660B"/>
    <w:rsid w:val="0EF97174"/>
    <w:rsid w:val="0F0F3D45"/>
    <w:rsid w:val="0F2550AA"/>
    <w:rsid w:val="0F2B36C0"/>
    <w:rsid w:val="0F3A116B"/>
    <w:rsid w:val="0F4920A4"/>
    <w:rsid w:val="0F4942A2"/>
    <w:rsid w:val="0F4A66BD"/>
    <w:rsid w:val="0F511411"/>
    <w:rsid w:val="0F703346"/>
    <w:rsid w:val="0F80004E"/>
    <w:rsid w:val="0F871EAB"/>
    <w:rsid w:val="0F9D3FD2"/>
    <w:rsid w:val="0F9F1528"/>
    <w:rsid w:val="0FDF5A14"/>
    <w:rsid w:val="0FFF3FF2"/>
    <w:rsid w:val="1008703A"/>
    <w:rsid w:val="10126FBC"/>
    <w:rsid w:val="103809FF"/>
    <w:rsid w:val="10764104"/>
    <w:rsid w:val="108A5F33"/>
    <w:rsid w:val="108F6F5D"/>
    <w:rsid w:val="1096068D"/>
    <w:rsid w:val="109F23E5"/>
    <w:rsid w:val="10B951CF"/>
    <w:rsid w:val="10BB3068"/>
    <w:rsid w:val="10D24280"/>
    <w:rsid w:val="10D82C05"/>
    <w:rsid w:val="10FC1774"/>
    <w:rsid w:val="10FC7A16"/>
    <w:rsid w:val="110D2C89"/>
    <w:rsid w:val="110E3EB6"/>
    <w:rsid w:val="11131D94"/>
    <w:rsid w:val="111778A8"/>
    <w:rsid w:val="111E4B32"/>
    <w:rsid w:val="1124277B"/>
    <w:rsid w:val="113B4A52"/>
    <w:rsid w:val="114E27DA"/>
    <w:rsid w:val="114E4423"/>
    <w:rsid w:val="11617971"/>
    <w:rsid w:val="11622F64"/>
    <w:rsid w:val="116F4939"/>
    <w:rsid w:val="117400AF"/>
    <w:rsid w:val="11846297"/>
    <w:rsid w:val="1186164E"/>
    <w:rsid w:val="118660F9"/>
    <w:rsid w:val="1191682E"/>
    <w:rsid w:val="11A4592F"/>
    <w:rsid w:val="11AD4D58"/>
    <w:rsid w:val="11B5691A"/>
    <w:rsid w:val="11B67206"/>
    <w:rsid w:val="11BA4661"/>
    <w:rsid w:val="11BA6A1A"/>
    <w:rsid w:val="11DA456B"/>
    <w:rsid w:val="11E411C4"/>
    <w:rsid w:val="11EE75FC"/>
    <w:rsid w:val="11FA2349"/>
    <w:rsid w:val="12044AB3"/>
    <w:rsid w:val="120C7685"/>
    <w:rsid w:val="121015B2"/>
    <w:rsid w:val="12342A01"/>
    <w:rsid w:val="12371472"/>
    <w:rsid w:val="12533BE9"/>
    <w:rsid w:val="12563736"/>
    <w:rsid w:val="126548EE"/>
    <w:rsid w:val="12817181"/>
    <w:rsid w:val="129E41E5"/>
    <w:rsid w:val="12AA4BE9"/>
    <w:rsid w:val="12B1333A"/>
    <w:rsid w:val="12C003F7"/>
    <w:rsid w:val="12C7679B"/>
    <w:rsid w:val="12DD774D"/>
    <w:rsid w:val="12E20B88"/>
    <w:rsid w:val="130D494D"/>
    <w:rsid w:val="13202B24"/>
    <w:rsid w:val="133E4EC4"/>
    <w:rsid w:val="135702FC"/>
    <w:rsid w:val="13581549"/>
    <w:rsid w:val="136404F3"/>
    <w:rsid w:val="137E2663"/>
    <w:rsid w:val="13B61E8E"/>
    <w:rsid w:val="13C23A1B"/>
    <w:rsid w:val="13C76244"/>
    <w:rsid w:val="13CF28FB"/>
    <w:rsid w:val="13DA7C15"/>
    <w:rsid w:val="13EA5E5F"/>
    <w:rsid w:val="140329A8"/>
    <w:rsid w:val="14107AE9"/>
    <w:rsid w:val="14157DFD"/>
    <w:rsid w:val="14175E0A"/>
    <w:rsid w:val="141F1BA5"/>
    <w:rsid w:val="142A2204"/>
    <w:rsid w:val="144E7AE0"/>
    <w:rsid w:val="1452019E"/>
    <w:rsid w:val="1472255F"/>
    <w:rsid w:val="14782396"/>
    <w:rsid w:val="148942E3"/>
    <w:rsid w:val="148B031E"/>
    <w:rsid w:val="14AC25B0"/>
    <w:rsid w:val="14AE0BED"/>
    <w:rsid w:val="14AF303C"/>
    <w:rsid w:val="14BE1377"/>
    <w:rsid w:val="14BE55AD"/>
    <w:rsid w:val="14E52CFF"/>
    <w:rsid w:val="15010F20"/>
    <w:rsid w:val="1502113A"/>
    <w:rsid w:val="151308D4"/>
    <w:rsid w:val="15281376"/>
    <w:rsid w:val="153A74E0"/>
    <w:rsid w:val="15422545"/>
    <w:rsid w:val="156508EF"/>
    <w:rsid w:val="15693006"/>
    <w:rsid w:val="15716A99"/>
    <w:rsid w:val="157177C3"/>
    <w:rsid w:val="15755788"/>
    <w:rsid w:val="157F2CB1"/>
    <w:rsid w:val="1581047E"/>
    <w:rsid w:val="15895642"/>
    <w:rsid w:val="15A444EB"/>
    <w:rsid w:val="15A75916"/>
    <w:rsid w:val="15B0540D"/>
    <w:rsid w:val="15B7532E"/>
    <w:rsid w:val="15C84147"/>
    <w:rsid w:val="15CA017F"/>
    <w:rsid w:val="15D44CB9"/>
    <w:rsid w:val="15D64DE0"/>
    <w:rsid w:val="15D71AD5"/>
    <w:rsid w:val="15DC38C2"/>
    <w:rsid w:val="15F23B4A"/>
    <w:rsid w:val="15FC08F6"/>
    <w:rsid w:val="15FF5FA5"/>
    <w:rsid w:val="160339FE"/>
    <w:rsid w:val="16385E17"/>
    <w:rsid w:val="1646133C"/>
    <w:rsid w:val="16535A2F"/>
    <w:rsid w:val="165931D9"/>
    <w:rsid w:val="16682D3E"/>
    <w:rsid w:val="167046E9"/>
    <w:rsid w:val="167E382D"/>
    <w:rsid w:val="16B64EC9"/>
    <w:rsid w:val="16C14D16"/>
    <w:rsid w:val="16C8771D"/>
    <w:rsid w:val="16DC0535"/>
    <w:rsid w:val="16FA20DA"/>
    <w:rsid w:val="17060D55"/>
    <w:rsid w:val="170716B6"/>
    <w:rsid w:val="170F5DE2"/>
    <w:rsid w:val="17203431"/>
    <w:rsid w:val="172C56B5"/>
    <w:rsid w:val="1748083E"/>
    <w:rsid w:val="17553F9F"/>
    <w:rsid w:val="175623CE"/>
    <w:rsid w:val="175E2809"/>
    <w:rsid w:val="176538DA"/>
    <w:rsid w:val="17787D90"/>
    <w:rsid w:val="1794775D"/>
    <w:rsid w:val="17B11330"/>
    <w:rsid w:val="17C376AD"/>
    <w:rsid w:val="17CB4905"/>
    <w:rsid w:val="17D01F3A"/>
    <w:rsid w:val="17DC7DAF"/>
    <w:rsid w:val="17DF40F7"/>
    <w:rsid w:val="180E4FC5"/>
    <w:rsid w:val="18171331"/>
    <w:rsid w:val="181F3A21"/>
    <w:rsid w:val="18396192"/>
    <w:rsid w:val="184A4BE3"/>
    <w:rsid w:val="18500258"/>
    <w:rsid w:val="185060EC"/>
    <w:rsid w:val="18543427"/>
    <w:rsid w:val="18545FAF"/>
    <w:rsid w:val="185A42FA"/>
    <w:rsid w:val="18870C54"/>
    <w:rsid w:val="189D2207"/>
    <w:rsid w:val="18A45C40"/>
    <w:rsid w:val="18D57338"/>
    <w:rsid w:val="18E96032"/>
    <w:rsid w:val="18EE62E8"/>
    <w:rsid w:val="18F96461"/>
    <w:rsid w:val="18FF308F"/>
    <w:rsid w:val="19094BBF"/>
    <w:rsid w:val="19116F8E"/>
    <w:rsid w:val="194E6691"/>
    <w:rsid w:val="19551A74"/>
    <w:rsid w:val="195942F0"/>
    <w:rsid w:val="195F7D63"/>
    <w:rsid w:val="196B18E4"/>
    <w:rsid w:val="197A625B"/>
    <w:rsid w:val="197C2433"/>
    <w:rsid w:val="19933139"/>
    <w:rsid w:val="19A370D2"/>
    <w:rsid w:val="19AC4F46"/>
    <w:rsid w:val="19BD7FCA"/>
    <w:rsid w:val="19C83DDC"/>
    <w:rsid w:val="19D57461"/>
    <w:rsid w:val="19E5590B"/>
    <w:rsid w:val="19E74602"/>
    <w:rsid w:val="19EE7D0B"/>
    <w:rsid w:val="1A077D86"/>
    <w:rsid w:val="1A085685"/>
    <w:rsid w:val="1A191F3E"/>
    <w:rsid w:val="1A342071"/>
    <w:rsid w:val="1A5163D6"/>
    <w:rsid w:val="1A54768F"/>
    <w:rsid w:val="1A5A669E"/>
    <w:rsid w:val="1A796C32"/>
    <w:rsid w:val="1A9B6333"/>
    <w:rsid w:val="1AA11028"/>
    <w:rsid w:val="1AB623A5"/>
    <w:rsid w:val="1AB9028C"/>
    <w:rsid w:val="1AB91166"/>
    <w:rsid w:val="1ABD699B"/>
    <w:rsid w:val="1AC56317"/>
    <w:rsid w:val="1AD6319E"/>
    <w:rsid w:val="1AE47B80"/>
    <w:rsid w:val="1B4B651F"/>
    <w:rsid w:val="1B777BC9"/>
    <w:rsid w:val="1B7D10D5"/>
    <w:rsid w:val="1B8D6B92"/>
    <w:rsid w:val="1B936CD6"/>
    <w:rsid w:val="1B990279"/>
    <w:rsid w:val="1B9B4E1C"/>
    <w:rsid w:val="1B9C50E9"/>
    <w:rsid w:val="1BA11A37"/>
    <w:rsid w:val="1BA13662"/>
    <w:rsid w:val="1BAA5FDD"/>
    <w:rsid w:val="1BAD4429"/>
    <w:rsid w:val="1BB80557"/>
    <w:rsid w:val="1BBC1606"/>
    <w:rsid w:val="1BD815BE"/>
    <w:rsid w:val="1BD91A80"/>
    <w:rsid w:val="1BE10BC8"/>
    <w:rsid w:val="1BE641ED"/>
    <w:rsid w:val="1BF24F3D"/>
    <w:rsid w:val="1C1D36F1"/>
    <w:rsid w:val="1C1F1D32"/>
    <w:rsid w:val="1C200EAE"/>
    <w:rsid w:val="1C291BAA"/>
    <w:rsid w:val="1C386892"/>
    <w:rsid w:val="1C3A035E"/>
    <w:rsid w:val="1C4A2683"/>
    <w:rsid w:val="1C5F292D"/>
    <w:rsid w:val="1C5F3B2B"/>
    <w:rsid w:val="1C631E26"/>
    <w:rsid w:val="1C7530BF"/>
    <w:rsid w:val="1C8361D3"/>
    <w:rsid w:val="1C954E9B"/>
    <w:rsid w:val="1CBB1BB0"/>
    <w:rsid w:val="1CBC5611"/>
    <w:rsid w:val="1CCB7770"/>
    <w:rsid w:val="1CD22EF6"/>
    <w:rsid w:val="1CD7177C"/>
    <w:rsid w:val="1CF005FD"/>
    <w:rsid w:val="1CF6531E"/>
    <w:rsid w:val="1CF73467"/>
    <w:rsid w:val="1D0B195E"/>
    <w:rsid w:val="1D1B606C"/>
    <w:rsid w:val="1D3570D5"/>
    <w:rsid w:val="1D4E0EB2"/>
    <w:rsid w:val="1D607992"/>
    <w:rsid w:val="1D693FA7"/>
    <w:rsid w:val="1D8F4E65"/>
    <w:rsid w:val="1D9C0F42"/>
    <w:rsid w:val="1DA063BF"/>
    <w:rsid w:val="1DAE7EBF"/>
    <w:rsid w:val="1DB41D7B"/>
    <w:rsid w:val="1DB553DF"/>
    <w:rsid w:val="1DBF1882"/>
    <w:rsid w:val="1DC84414"/>
    <w:rsid w:val="1DCA3F6C"/>
    <w:rsid w:val="1DDB7A8A"/>
    <w:rsid w:val="1DF17BE1"/>
    <w:rsid w:val="1DF91071"/>
    <w:rsid w:val="1E004D92"/>
    <w:rsid w:val="1E167557"/>
    <w:rsid w:val="1E302A17"/>
    <w:rsid w:val="1E4719A3"/>
    <w:rsid w:val="1E551952"/>
    <w:rsid w:val="1E5F1F97"/>
    <w:rsid w:val="1E6C5F4E"/>
    <w:rsid w:val="1E755015"/>
    <w:rsid w:val="1EA65561"/>
    <w:rsid w:val="1EAD4127"/>
    <w:rsid w:val="1EB70BD9"/>
    <w:rsid w:val="1EB8797A"/>
    <w:rsid w:val="1EE142F9"/>
    <w:rsid w:val="1EEC719E"/>
    <w:rsid w:val="1EEE2F09"/>
    <w:rsid w:val="1EF7018A"/>
    <w:rsid w:val="1F0242AA"/>
    <w:rsid w:val="1F044236"/>
    <w:rsid w:val="1F111D05"/>
    <w:rsid w:val="1F25251D"/>
    <w:rsid w:val="1F2B5438"/>
    <w:rsid w:val="1F390590"/>
    <w:rsid w:val="1F424A01"/>
    <w:rsid w:val="1F4B0BE5"/>
    <w:rsid w:val="1F4C33CB"/>
    <w:rsid w:val="1F4C6748"/>
    <w:rsid w:val="1F595467"/>
    <w:rsid w:val="1F5B2F4F"/>
    <w:rsid w:val="1F5C06A1"/>
    <w:rsid w:val="1F774357"/>
    <w:rsid w:val="1F7D4C37"/>
    <w:rsid w:val="1F85321F"/>
    <w:rsid w:val="1FA93A51"/>
    <w:rsid w:val="1FB80942"/>
    <w:rsid w:val="1FBB5482"/>
    <w:rsid w:val="1FCE373D"/>
    <w:rsid w:val="2001262E"/>
    <w:rsid w:val="200D64BE"/>
    <w:rsid w:val="20153599"/>
    <w:rsid w:val="201B2789"/>
    <w:rsid w:val="20214DF0"/>
    <w:rsid w:val="20256516"/>
    <w:rsid w:val="20584BED"/>
    <w:rsid w:val="207F7CDD"/>
    <w:rsid w:val="20A4578F"/>
    <w:rsid w:val="20BC55C4"/>
    <w:rsid w:val="20D40A6C"/>
    <w:rsid w:val="20D60AAE"/>
    <w:rsid w:val="21061BA2"/>
    <w:rsid w:val="2121427E"/>
    <w:rsid w:val="21262CBA"/>
    <w:rsid w:val="212B1C97"/>
    <w:rsid w:val="21361FB5"/>
    <w:rsid w:val="214B3D89"/>
    <w:rsid w:val="2154483D"/>
    <w:rsid w:val="21575426"/>
    <w:rsid w:val="215C1F77"/>
    <w:rsid w:val="216C7D5C"/>
    <w:rsid w:val="2177769E"/>
    <w:rsid w:val="217C4489"/>
    <w:rsid w:val="21A93954"/>
    <w:rsid w:val="21D25FF2"/>
    <w:rsid w:val="21D35B8A"/>
    <w:rsid w:val="21D5280D"/>
    <w:rsid w:val="21EB6B55"/>
    <w:rsid w:val="21F70210"/>
    <w:rsid w:val="22110474"/>
    <w:rsid w:val="221E0187"/>
    <w:rsid w:val="22344A9E"/>
    <w:rsid w:val="22363269"/>
    <w:rsid w:val="223C2DAF"/>
    <w:rsid w:val="223E2651"/>
    <w:rsid w:val="224E39C0"/>
    <w:rsid w:val="226575C4"/>
    <w:rsid w:val="22682C5C"/>
    <w:rsid w:val="226D3EEA"/>
    <w:rsid w:val="226E077B"/>
    <w:rsid w:val="228935B5"/>
    <w:rsid w:val="22923DE9"/>
    <w:rsid w:val="22973417"/>
    <w:rsid w:val="229D5794"/>
    <w:rsid w:val="22AD1241"/>
    <w:rsid w:val="22BE600E"/>
    <w:rsid w:val="22C17DB5"/>
    <w:rsid w:val="22C32593"/>
    <w:rsid w:val="22C629AC"/>
    <w:rsid w:val="22D6244E"/>
    <w:rsid w:val="22DD27AA"/>
    <w:rsid w:val="22E96F92"/>
    <w:rsid w:val="23060CEA"/>
    <w:rsid w:val="230D3451"/>
    <w:rsid w:val="230E5678"/>
    <w:rsid w:val="23257653"/>
    <w:rsid w:val="23346FCE"/>
    <w:rsid w:val="23441FFA"/>
    <w:rsid w:val="234B3276"/>
    <w:rsid w:val="23603619"/>
    <w:rsid w:val="23626207"/>
    <w:rsid w:val="23773623"/>
    <w:rsid w:val="2377693D"/>
    <w:rsid w:val="239C0243"/>
    <w:rsid w:val="239F724D"/>
    <w:rsid w:val="23A1050D"/>
    <w:rsid w:val="23A14082"/>
    <w:rsid w:val="23AB1721"/>
    <w:rsid w:val="23BD1C54"/>
    <w:rsid w:val="23D90902"/>
    <w:rsid w:val="23DA1C5E"/>
    <w:rsid w:val="23EF0BE1"/>
    <w:rsid w:val="23FA709A"/>
    <w:rsid w:val="24002E5E"/>
    <w:rsid w:val="24232DE5"/>
    <w:rsid w:val="244A408C"/>
    <w:rsid w:val="245A6743"/>
    <w:rsid w:val="246A08B9"/>
    <w:rsid w:val="24754B15"/>
    <w:rsid w:val="247F64CC"/>
    <w:rsid w:val="248D420D"/>
    <w:rsid w:val="24921B27"/>
    <w:rsid w:val="24A0121D"/>
    <w:rsid w:val="24B0652D"/>
    <w:rsid w:val="24B97631"/>
    <w:rsid w:val="24C90419"/>
    <w:rsid w:val="24D24D56"/>
    <w:rsid w:val="24E32289"/>
    <w:rsid w:val="24ED1C1E"/>
    <w:rsid w:val="24F0284D"/>
    <w:rsid w:val="24F039A5"/>
    <w:rsid w:val="250E20E4"/>
    <w:rsid w:val="25202C91"/>
    <w:rsid w:val="252331A5"/>
    <w:rsid w:val="252733A0"/>
    <w:rsid w:val="253B3A36"/>
    <w:rsid w:val="25425A19"/>
    <w:rsid w:val="25490B3E"/>
    <w:rsid w:val="256E6C47"/>
    <w:rsid w:val="256F1A53"/>
    <w:rsid w:val="258B2F2B"/>
    <w:rsid w:val="258B31A0"/>
    <w:rsid w:val="25AB3D1C"/>
    <w:rsid w:val="25C40884"/>
    <w:rsid w:val="25C73A07"/>
    <w:rsid w:val="25CB7FC0"/>
    <w:rsid w:val="25D90A1B"/>
    <w:rsid w:val="25DC0129"/>
    <w:rsid w:val="25DF10AE"/>
    <w:rsid w:val="25E22192"/>
    <w:rsid w:val="25F332FF"/>
    <w:rsid w:val="25FE37D6"/>
    <w:rsid w:val="26274BB6"/>
    <w:rsid w:val="26356536"/>
    <w:rsid w:val="264B61DF"/>
    <w:rsid w:val="266853CB"/>
    <w:rsid w:val="268B243A"/>
    <w:rsid w:val="269C627F"/>
    <w:rsid w:val="26AA20D3"/>
    <w:rsid w:val="26AA327D"/>
    <w:rsid w:val="26AA349C"/>
    <w:rsid w:val="26B43DCE"/>
    <w:rsid w:val="26C705B0"/>
    <w:rsid w:val="26CB5833"/>
    <w:rsid w:val="26D251BE"/>
    <w:rsid w:val="26DB01F5"/>
    <w:rsid w:val="26DD3B73"/>
    <w:rsid w:val="26E444A5"/>
    <w:rsid w:val="26E576C7"/>
    <w:rsid w:val="26F04260"/>
    <w:rsid w:val="26F81EB4"/>
    <w:rsid w:val="26FB2F1B"/>
    <w:rsid w:val="272D45D3"/>
    <w:rsid w:val="27310A5B"/>
    <w:rsid w:val="27310B9A"/>
    <w:rsid w:val="273E1C11"/>
    <w:rsid w:val="275265C3"/>
    <w:rsid w:val="276B112C"/>
    <w:rsid w:val="27815619"/>
    <w:rsid w:val="279E2679"/>
    <w:rsid w:val="279F554C"/>
    <w:rsid w:val="27C25618"/>
    <w:rsid w:val="27D65541"/>
    <w:rsid w:val="27E50C24"/>
    <w:rsid w:val="27EC5FCE"/>
    <w:rsid w:val="28183270"/>
    <w:rsid w:val="281C0F13"/>
    <w:rsid w:val="285E7D99"/>
    <w:rsid w:val="286651CF"/>
    <w:rsid w:val="28671C46"/>
    <w:rsid w:val="28786555"/>
    <w:rsid w:val="2897657D"/>
    <w:rsid w:val="28AB19F4"/>
    <w:rsid w:val="28BD3A65"/>
    <w:rsid w:val="28BD5FE3"/>
    <w:rsid w:val="28D71E0B"/>
    <w:rsid w:val="28DC39BE"/>
    <w:rsid w:val="28DD5BCB"/>
    <w:rsid w:val="28E01F8A"/>
    <w:rsid w:val="28F045AC"/>
    <w:rsid w:val="291B318A"/>
    <w:rsid w:val="291D583E"/>
    <w:rsid w:val="293723B4"/>
    <w:rsid w:val="29602BC4"/>
    <w:rsid w:val="299629CF"/>
    <w:rsid w:val="299760C7"/>
    <w:rsid w:val="2999350D"/>
    <w:rsid w:val="299E7E78"/>
    <w:rsid w:val="29A604F9"/>
    <w:rsid w:val="29B759BC"/>
    <w:rsid w:val="29C00DB7"/>
    <w:rsid w:val="29D60A95"/>
    <w:rsid w:val="29D94FA1"/>
    <w:rsid w:val="29E31604"/>
    <w:rsid w:val="29F87E04"/>
    <w:rsid w:val="29F93602"/>
    <w:rsid w:val="2A1A7BC7"/>
    <w:rsid w:val="2A1E01A9"/>
    <w:rsid w:val="2A2D73EC"/>
    <w:rsid w:val="2A2E4CEB"/>
    <w:rsid w:val="2A3B565F"/>
    <w:rsid w:val="2A4A3088"/>
    <w:rsid w:val="2A5D0C96"/>
    <w:rsid w:val="2A653259"/>
    <w:rsid w:val="2A8F4841"/>
    <w:rsid w:val="2AA270FE"/>
    <w:rsid w:val="2AA369DD"/>
    <w:rsid w:val="2AD06022"/>
    <w:rsid w:val="2AD63975"/>
    <w:rsid w:val="2ADD1B0D"/>
    <w:rsid w:val="2AEC47FC"/>
    <w:rsid w:val="2AF1331E"/>
    <w:rsid w:val="2AF46F08"/>
    <w:rsid w:val="2AF81BE3"/>
    <w:rsid w:val="2AFF23A5"/>
    <w:rsid w:val="2B176F87"/>
    <w:rsid w:val="2B361003"/>
    <w:rsid w:val="2B3762A6"/>
    <w:rsid w:val="2B3C6641"/>
    <w:rsid w:val="2B4A27A4"/>
    <w:rsid w:val="2B5B0F6E"/>
    <w:rsid w:val="2B792D84"/>
    <w:rsid w:val="2B925FDF"/>
    <w:rsid w:val="2B9970F1"/>
    <w:rsid w:val="2BB74A47"/>
    <w:rsid w:val="2BE501C7"/>
    <w:rsid w:val="2BED2E55"/>
    <w:rsid w:val="2C1738CF"/>
    <w:rsid w:val="2C1945D8"/>
    <w:rsid w:val="2C3E23A2"/>
    <w:rsid w:val="2C4E7E38"/>
    <w:rsid w:val="2C6C7918"/>
    <w:rsid w:val="2C783906"/>
    <w:rsid w:val="2C9E472D"/>
    <w:rsid w:val="2CB5787B"/>
    <w:rsid w:val="2CCA4381"/>
    <w:rsid w:val="2CD30F03"/>
    <w:rsid w:val="2CD66FAA"/>
    <w:rsid w:val="2CEA4162"/>
    <w:rsid w:val="2CF249BE"/>
    <w:rsid w:val="2CFC1554"/>
    <w:rsid w:val="2CFF3512"/>
    <w:rsid w:val="2D0333E4"/>
    <w:rsid w:val="2D0B7148"/>
    <w:rsid w:val="2D17770B"/>
    <w:rsid w:val="2D354DCA"/>
    <w:rsid w:val="2D3E7D46"/>
    <w:rsid w:val="2D6E6943"/>
    <w:rsid w:val="2D7E4AF7"/>
    <w:rsid w:val="2D8404BB"/>
    <w:rsid w:val="2D8519AC"/>
    <w:rsid w:val="2D87777E"/>
    <w:rsid w:val="2D8E349F"/>
    <w:rsid w:val="2D9469E6"/>
    <w:rsid w:val="2D9D7A77"/>
    <w:rsid w:val="2DAA08E0"/>
    <w:rsid w:val="2DAF78FF"/>
    <w:rsid w:val="2DD93F77"/>
    <w:rsid w:val="2DDC694B"/>
    <w:rsid w:val="2DDE7A41"/>
    <w:rsid w:val="2DEF20F0"/>
    <w:rsid w:val="2E041306"/>
    <w:rsid w:val="2E06778F"/>
    <w:rsid w:val="2E087703"/>
    <w:rsid w:val="2E106E4C"/>
    <w:rsid w:val="2E4C211D"/>
    <w:rsid w:val="2E4D7F49"/>
    <w:rsid w:val="2E4E05E7"/>
    <w:rsid w:val="2E4E1129"/>
    <w:rsid w:val="2E5B5EA2"/>
    <w:rsid w:val="2E6446EB"/>
    <w:rsid w:val="2E6B07B8"/>
    <w:rsid w:val="2E7F0E61"/>
    <w:rsid w:val="2E7F686F"/>
    <w:rsid w:val="2E870765"/>
    <w:rsid w:val="2E8D0791"/>
    <w:rsid w:val="2E9B39A1"/>
    <w:rsid w:val="2EAA702B"/>
    <w:rsid w:val="2ECD1756"/>
    <w:rsid w:val="2EDD3F6F"/>
    <w:rsid w:val="2F047EE8"/>
    <w:rsid w:val="2F085C75"/>
    <w:rsid w:val="2F2B12A9"/>
    <w:rsid w:val="2F3C4BFB"/>
    <w:rsid w:val="2F471420"/>
    <w:rsid w:val="2F626907"/>
    <w:rsid w:val="2F6B4720"/>
    <w:rsid w:val="2F956224"/>
    <w:rsid w:val="2FA23A7C"/>
    <w:rsid w:val="2FA30525"/>
    <w:rsid w:val="2FB449B9"/>
    <w:rsid w:val="2FC73BC7"/>
    <w:rsid w:val="2FD33F66"/>
    <w:rsid w:val="2FD408E0"/>
    <w:rsid w:val="2FE311E4"/>
    <w:rsid w:val="2FF608DC"/>
    <w:rsid w:val="2FF71222"/>
    <w:rsid w:val="2FFD3FAC"/>
    <w:rsid w:val="3004586C"/>
    <w:rsid w:val="300B6218"/>
    <w:rsid w:val="30160ACC"/>
    <w:rsid w:val="302651B2"/>
    <w:rsid w:val="3045081F"/>
    <w:rsid w:val="305D69EA"/>
    <w:rsid w:val="306825DD"/>
    <w:rsid w:val="30834BF9"/>
    <w:rsid w:val="308974AE"/>
    <w:rsid w:val="30944718"/>
    <w:rsid w:val="30945B60"/>
    <w:rsid w:val="30C01078"/>
    <w:rsid w:val="30CF0FD9"/>
    <w:rsid w:val="30CF5A24"/>
    <w:rsid w:val="30E42C41"/>
    <w:rsid w:val="30F34FAE"/>
    <w:rsid w:val="3133127A"/>
    <w:rsid w:val="31353CD7"/>
    <w:rsid w:val="313E620E"/>
    <w:rsid w:val="313E6CDE"/>
    <w:rsid w:val="313F3759"/>
    <w:rsid w:val="31727F68"/>
    <w:rsid w:val="317662E9"/>
    <w:rsid w:val="31954796"/>
    <w:rsid w:val="31962DAE"/>
    <w:rsid w:val="319F0073"/>
    <w:rsid w:val="31B9498A"/>
    <w:rsid w:val="31CB6BC1"/>
    <w:rsid w:val="31CE7B45"/>
    <w:rsid w:val="31DD48DC"/>
    <w:rsid w:val="31E60453"/>
    <w:rsid w:val="32044DED"/>
    <w:rsid w:val="320C562E"/>
    <w:rsid w:val="3215767E"/>
    <w:rsid w:val="323F70E3"/>
    <w:rsid w:val="32414601"/>
    <w:rsid w:val="324B22D2"/>
    <w:rsid w:val="32575E9A"/>
    <w:rsid w:val="325C3AF5"/>
    <w:rsid w:val="3262622A"/>
    <w:rsid w:val="327A0FE8"/>
    <w:rsid w:val="329F684F"/>
    <w:rsid w:val="32B26B6D"/>
    <w:rsid w:val="32C92CF9"/>
    <w:rsid w:val="32CC0FF0"/>
    <w:rsid w:val="32DF7982"/>
    <w:rsid w:val="32F96ACA"/>
    <w:rsid w:val="330258B3"/>
    <w:rsid w:val="33054642"/>
    <w:rsid w:val="33106E3B"/>
    <w:rsid w:val="332F0A06"/>
    <w:rsid w:val="33301D0B"/>
    <w:rsid w:val="333E4968"/>
    <w:rsid w:val="336114D2"/>
    <w:rsid w:val="337E28B4"/>
    <w:rsid w:val="338A0241"/>
    <w:rsid w:val="33951969"/>
    <w:rsid w:val="339B5E01"/>
    <w:rsid w:val="33A23634"/>
    <w:rsid w:val="33A31D7A"/>
    <w:rsid w:val="33A6539B"/>
    <w:rsid w:val="33D163EF"/>
    <w:rsid w:val="33D45DFD"/>
    <w:rsid w:val="33E605A3"/>
    <w:rsid w:val="33E706E6"/>
    <w:rsid w:val="33F14703"/>
    <w:rsid w:val="33F7797D"/>
    <w:rsid w:val="3406027F"/>
    <w:rsid w:val="343E4026"/>
    <w:rsid w:val="345B2367"/>
    <w:rsid w:val="34841338"/>
    <w:rsid w:val="348B5095"/>
    <w:rsid w:val="349C315B"/>
    <w:rsid w:val="349C31F7"/>
    <w:rsid w:val="34A12E66"/>
    <w:rsid w:val="34A54544"/>
    <w:rsid w:val="34AE0539"/>
    <w:rsid w:val="34C63AB8"/>
    <w:rsid w:val="34CD5068"/>
    <w:rsid w:val="34CE2B5B"/>
    <w:rsid w:val="34D57664"/>
    <w:rsid w:val="34DD0D0C"/>
    <w:rsid w:val="34DF61CE"/>
    <w:rsid w:val="34E944F6"/>
    <w:rsid w:val="34E94AA0"/>
    <w:rsid w:val="35072EAD"/>
    <w:rsid w:val="350960B1"/>
    <w:rsid w:val="35150114"/>
    <w:rsid w:val="35217336"/>
    <w:rsid w:val="35290A77"/>
    <w:rsid w:val="352A0B4B"/>
    <w:rsid w:val="352F7D57"/>
    <w:rsid w:val="35356F10"/>
    <w:rsid w:val="354840CB"/>
    <w:rsid w:val="355C013C"/>
    <w:rsid w:val="35653EA9"/>
    <w:rsid w:val="3565420B"/>
    <w:rsid w:val="356A5BBA"/>
    <w:rsid w:val="356A601B"/>
    <w:rsid w:val="35825C91"/>
    <w:rsid w:val="3583595D"/>
    <w:rsid w:val="35841013"/>
    <w:rsid w:val="358B79C9"/>
    <w:rsid w:val="35934427"/>
    <w:rsid w:val="359A00B9"/>
    <w:rsid w:val="35C72C49"/>
    <w:rsid w:val="35F73AA1"/>
    <w:rsid w:val="35F853BB"/>
    <w:rsid w:val="35FB1676"/>
    <w:rsid w:val="361526DE"/>
    <w:rsid w:val="36225127"/>
    <w:rsid w:val="36237E20"/>
    <w:rsid w:val="362551E1"/>
    <w:rsid w:val="36286678"/>
    <w:rsid w:val="363803C7"/>
    <w:rsid w:val="367620D2"/>
    <w:rsid w:val="3689139F"/>
    <w:rsid w:val="369608CE"/>
    <w:rsid w:val="369B2954"/>
    <w:rsid w:val="36A30297"/>
    <w:rsid w:val="36C1037B"/>
    <w:rsid w:val="36D067A6"/>
    <w:rsid w:val="36D4011D"/>
    <w:rsid w:val="36E865A3"/>
    <w:rsid w:val="37070D11"/>
    <w:rsid w:val="37201F64"/>
    <w:rsid w:val="373F53DD"/>
    <w:rsid w:val="374C04C6"/>
    <w:rsid w:val="375948AC"/>
    <w:rsid w:val="376B28D6"/>
    <w:rsid w:val="376C0D7B"/>
    <w:rsid w:val="376C5D00"/>
    <w:rsid w:val="376E276D"/>
    <w:rsid w:val="37A04E93"/>
    <w:rsid w:val="37D22ED3"/>
    <w:rsid w:val="37EA0A17"/>
    <w:rsid w:val="380A7603"/>
    <w:rsid w:val="380B0BB2"/>
    <w:rsid w:val="380D32F1"/>
    <w:rsid w:val="380D5D0D"/>
    <w:rsid w:val="382F2C1E"/>
    <w:rsid w:val="3871463E"/>
    <w:rsid w:val="38716CD9"/>
    <w:rsid w:val="38801C6C"/>
    <w:rsid w:val="38851608"/>
    <w:rsid w:val="389F2071"/>
    <w:rsid w:val="38A45712"/>
    <w:rsid w:val="38A47DD9"/>
    <w:rsid w:val="38B04451"/>
    <w:rsid w:val="38CC35B4"/>
    <w:rsid w:val="38D10166"/>
    <w:rsid w:val="39207FD2"/>
    <w:rsid w:val="392E645D"/>
    <w:rsid w:val="3933207C"/>
    <w:rsid w:val="39341BE2"/>
    <w:rsid w:val="393947EE"/>
    <w:rsid w:val="394B37F2"/>
    <w:rsid w:val="39532C2F"/>
    <w:rsid w:val="39756BD2"/>
    <w:rsid w:val="39985F30"/>
    <w:rsid w:val="39D3500A"/>
    <w:rsid w:val="39D620EE"/>
    <w:rsid w:val="39D96419"/>
    <w:rsid w:val="39E55169"/>
    <w:rsid w:val="39E84553"/>
    <w:rsid w:val="39F4018B"/>
    <w:rsid w:val="39F72E22"/>
    <w:rsid w:val="3A094E52"/>
    <w:rsid w:val="3A174971"/>
    <w:rsid w:val="3A273045"/>
    <w:rsid w:val="3A351385"/>
    <w:rsid w:val="3A3E4729"/>
    <w:rsid w:val="3A675D63"/>
    <w:rsid w:val="3A8C1EFF"/>
    <w:rsid w:val="3A9F7948"/>
    <w:rsid w:val="3AA02CE4"/>
    <w:rsid w:val="3AA628ED"/>
    <w:rsid w:val="3AAC6356"/>
    <w:rsid w:val="3AAF0D0B"/>
    <w:rsid w:val="3AB23C38"/>
    <w:rsid w:val="3AB704E3"/>
    <w:rsid w:val="3ABA4B72"/>
    <w:rsid w:val="3ABC5104"/>
    <w:rsid w:val="3AC76FD5"/>
    <w:rsid w:val="3ACE1617"/>
    <w:rsid w:val="3AD31906"/>
    <w:rsid w:val="3AD8364A"/>
    <w:rsid w:val="3AD969F8"/>
    <w:rsid w:val="3AFD1BC4"/>
    <w:rsid w:val="3B011CBF"/>
    <w:rsid w:val="3B47510C"/>
    <w:rsid w:val="3B4C622A"/>
    <w:rsid w:val="3B634927"/>
    <w:rsid w:val="3B7F36AC"/>
    <w:rsid w:val="3B822235"/>
    <w:rsid w:val="3B861D2E"/>
    <w:rsid w:val="3B937808"/>
    <w:rsid w:val="3BC25680"/>
    <w:rsid w:val="3BD653F5"/>
    <w:rsid w:val="3BE16ECF"/>
    <w:rsid w:val="3BED0FCA"/>
    <w:rsid w:val="3C211965"/>
    <w:rsid w:val="3C226C56"/>
    <w:rsid w:val="3C4B0ED5"/>
    <w:rsid w:val="3C6C2EB8"/>
    <w:rsid w:val="3CA91418"/>
    <w:rsid w:val="3CAD34C9"/>
    <w:rsid w:val="3CBC1B56"/>
    <w:rsid w:val="3CBD75BF"/>
    <w:rsid w:val="3CC33BCC"/>
    <w:rsid w:val="3CD641A1"/>
    <w:rsid w:val="3CE2490A"/>
    <w:rsid w:val="3CEA648A"/>
    <w:rsid w:val="3D093637"/>
    <w:rsid w:val="3D1502D9"/>
    <w:rsid w:val="3D30516B"/>
    <w:rsid w:val="3D390582"/>
    <w:rsid w:val="3D3F406A"/>
    <w:rsid w:val="3D555673"/>
    <w:rsid w:val="3D5657CC"/>
    <w:rsid w:val="3D5D2E26"/>
    <w:rsid w:val="3D697A4C"/>
    <w:rsid w:val="3D876DDA"/>
    <w:rsid w:val="3D8C35CB"/>
    <w:rsid w:val="3D8E5ECA"/>
    <w:rsid w:val="3DA6750A"/>
    <w:rsid w:val="3DB21166"/>
    <w:rsid w:val="3DB52FFB"/>
    <w:rsid w:val="3DB932B8"/>
    <w:rsid w:val="3DCE5EF9"/>
    <w:rsid w:val="3DDF3C84"/>
    <w:rsid w:val="3DF17D30"/>
    <w:rsid w:val="3DF55B8D"/>
    <w:rsid w:val="3DF740D2"/>
    <w:rsid w:val="3E2942BE"/>
    <w:rsid w:val="3E300439"/>
    <w:rsid w:val="3E320B89"/>
    <w:rsid w:val="3E3906BC"/>
    <w:rsid w:val="3E462526"/>
    <w:rsid w:val="3E5648B2"/>
    <w:rsid w:val="3E5709F3"/>
    <w:rsid w:val="3E667CEF"/>
    <w:rsid w:val="3E684241"/>
    <w:rsid w:val="3E75521D"/>
    <w:rsid w:val="3E83245B"/>
    <w:rsid w:val="3E8412E9"/>
    <w:rsid w:val="3E9328AF"/>
    <w:rsid w:val="3EBC27E6"/>
    <w:rsid w:val="3EDC10D0"/>
    <w:rsid w:val="3EE10368"/>
    <w:rsid w:val="3EEE2BBE"/>
    <w:rsid w:val="3EF13BC7"/>
    <w:rsid w:val="3EF53D00"/>
    <w:rsid w:val="3EF94FFC"/>
    <w:rsid w:val="3F0C4369"/>
    <w:rsid w:val="3F2F53AA"/>
    <w:rsid w:val="3F493F5C"/>
    <w:rsid w:val="3F536673"/>
    <w:rsid w:val="3F5A79F3"/>
    <w:rsid w:val="3F5D2E4D"/>
    <w:rsid w:val="3F5F1F5C"/>
    <w:rsid w:val="3F6A5EE0"/>
    <w:rsid w:val="3F8A14CB"/>
    <w:rsid w:val="3F9120E3"/>
    <w:rsid w:val="3F9E0865"/>
    <w:rsid w:val="3FA5009E"/>
    <w:rsid w:val="3FA97081"/>
    <w:rsid w:val="3FC94921"/>
    <w:rsid w:val="3FD02AA6"/>
    <w:rsid w:val="3FD50D82"/>
    <w:rsid w:val="3FDB1475"/>
    <w:rsid w:val="3FDE5AD9"/>
    <w:rsid w:val="3FE56AF2"/>
    <w:rsid w:val="3FF32979"/>
    <w:rsid w:val="40007A90"/>
    <w:rsid w:val="401C0DE9"/>
    <w:rsid w:val="401C7BD5"/>
    <w:rsid w:val="402417C8"/>
    <w:rsid w:val="40372073"/>
    <w:rsid w:val="403D4A3A"/>
    <w:rsid w:val="404A114E"/>
    <w:rsid w:val="404F52A8"/>
    <w:rsid w:val="40790653"/>
    <w:rsid w:val="40AA46A6"/>
    <w:rsid w:val="40B6211F"/>
    <w:rsid w:val="40C2573C"/>
    <w:rsid w:val="40D01BF9"/>
    <w:rsid w:val="40D34024"/>
    <w:rsid w:val="40D43BA0"/>
    <w:rsid w:val="40E241CE"/>
    <w:rsid w:val="40EA78D7"/>
    <w:rsid w:val="40EC35D0"/>
    <w:rsid w:val="40EC510F"/>
    <w:rsid w:val="40EF5D43"/>
    <w:rsid w:val="412912D7"/>
    <w:rsid w:val="41366B89"/>
    <w:rsid w:val="41643D6B"/>
    <w:rsid w:val="41771599"/>
    <w:rsid w:val="418E52EE"/>
    <w:rsid w:val="41A04E11"/>
    <w:rsid w:val="41DB0F0D"/>
    <w:rsid w:val="41F029FA"/>
    <w:rsid w:val="420558C2"/>
    <w:rsid w:val="42057B28"/>
    <w:rsid w:val="420874B4"/>
    <w:rsid w:val="421052B2"/>
    <w:rsid w:val="42190CC2"/>
    <w:rsid w:val="422F36E3"/>
    <w:rsid w:val="42407C97"/>
    <w:rsid w:val="42491125"/>
    <w:rsid w:val="427A44C2"/>
    <w:rsid w:val="42880654"/>
    <w:rsid w:val="428D14EF"/>
    <w:rsid w:val="4296187E"/>
    <w:rsid w:val="429B2F25"/>
    <w:rsid w:val="429B4AA7"/>
    <w:rsid w:val="42A65AF0"/>
    <w:rsid w:val="42AD56C6"/>
    <w:rsid w:val="42FF71DC"/>
    <w:rsid w:val="42FF7548"/>
    <w:rsid w:val="43082441"/>
    <w:rsid w:val="432B1FC3"/>
    <w:rsid w:val="43346B04"/>
    <w:rsid w:val="433D6326"/>
    <w:rsid w:val="434315F5"/>
    <w:rsid w:val="434D155D"/>
    <w:rsid w:val="43565589"/>
    <w:rsid w:val="435E53D9"/>
    <w:rsid w:val="43687A72"/>
    <w:rsid w:val="4371130B"/>
    <w:rsid w:val="437A0D2C"/>
    <w:rsid w:val="438607EE"/>
    <w:rsid w:val="43911F91"/>
    <w:rsid w:val="4394491A"/>
    <w:rsid w:val="43997A97"/>
    <w:rsid w:val="43A16902"/>
    <w:rsid w:val="43BD5DE5"/>
    <w:rsid w:val="43CC2FC9"/>
    <w:rsid w:val="43D65E39"/>
    <w:rsid w:val="43D6606E"/>
    <w:rsid w:val="43E63B73"/>
    <w:rsid w:val="43FE3B45"/>
    <w:rsid w:val="441111D7"/>
    <w:rsid w:val="442D64E6"/>
    <w:rsid w:val="443B3A4C"/>
    <w:rsid w:val="444B0AC4"/>
    <w:rsid w:val="444C64B0"/>
    <w:rsid w:val="444D54BA"/>
    <w:rsid w:val="44742FDB"/>
    <w:rsid w:val="447636BF"/>
    <w:rsid w:val="44951997"/>
    <w:rsid w:val="449D508C"/>
    <w:rsid w:val="44B15AF7"/>
    <w:rsid w:val="44B36E39"/>
    <w:rsid w:val="44DC2E06"/>
    <w:rsid w:val="44EC7013"/>
    <w:rsid w:val="44F02519"/>
    <w:rsid w:val="44FB3AE3"/>
    <w:rsid w:val="44FF3C64"/>
    <w:rsid w:val="45061393"/>
    <w:rsid w:val="45427AA4"/>
    <w:rsid w:val="45515DC5"/>
    <w:rsid w:val="455454A2"/>
    <w:rsid w:val="45564CA5"/>
    <w:rsid w:val="455B6233"/>
    <w:rsid w:val="456A6A48"/>
    <w:rsid w:val="457C3D14"/>
    <w:rsid w:val="45865E2C"/>
    <w:rsid w:val="45911A43"/>
    <w:rsid w:val="45A16423"/>
    <w:rsid w:val="45A24E61"/>
    <w:rsid w:val="45B457B5"/>
    <w:rsid w:val="45C63F33"/>
    <w:rsid w:val="45C849A3"/>
    <w:rsid w:val="45DA1DB7"/>
    <w:rsid w:val="45DE2657"/>
    <w:rsid w:val="45F10EC5"/>
    <w:rsid w:val="460F4303"/>
    <w:rsid w:val="462E7E70"/>
    <w:rsid w:val="463144E8"/>
    <w:rsid w:val="46335004"/>
    <w:rsid w:val="46424079"/>
    <w:rsid w:val="466317E7"/>
    <w:rsid w:val="466E3CCD"/>
    <w:rsid w:val="4676381B"/>
    <w:rsid w:val="467744FD"/>
    <w:rsid w:val="46A746F1"/>
    <w:rsid w:val="46A9467B"/>
    <w:rsid w:val="46A9603F"/>
    <w:rsid w:val="46AF30F0"/>
    <w:rsid w:val="46D046FE"/>
    <w:rsid w:val="46D808B3"/>
    <w:rsid w:val="46E12276"/>
    <w:rsid w:val="46F03580"/>
    <w:rsid w:val="46F51A7F"/>
    <w:rsid w:val="47140188"/>
    <w:rsid w:val="4714637D"/>
    <w:rsid w:val="4718310F"/>
    <w:rsid w:val="472033C0"/>
    <w:rsid w:val="47280D0D"/>
    <w:rsid w:val="47424AC3"/>
    <w:rsid w:val="47581629"/>
    <w:rsid w:val="476B7898"/>
    <w:rsid w:val="47700B34"/>
    <w:rsid w:val="477A6B40"/>
    <w:rsid w:val="47974276"/>
    <w:rsid w:val="479C078C"/>
    <w:rsid w:val="47B32E9C"/>
    <w:rsid w:val="47B922BA"/>
    <w:rsid w:val="47ED7291"/>
    <w:rsid w:val="47F46C1C"/>
    <w:rsid w:val="48072039"/>
    <w:rsid w:val="480B19F6"/>
    <w:rsid w:val="480E7E09"/>
    <w:rsid w:val="481D675B"/>
    <w:rsid w:val="482109E5"/>
    <w:rsid w:val="48212AE9"/>
    <w:rsid w:val="48281A14"/>
    <w:rsid w:val="484D05AF"/>
    <w:rsid w:val="48580B3F"/>
    <w:rsid w:val="486C4CE7"/>
    <w:rsid w:val="487216E8"/>
    <w:rsid w:val="488536D4"/>
    <w:rsid w:val="489713C3"/>
    <w:rsid w:val="48A262B1"/>
    <w:rsid w:val="48A61EC2"/>
    <w:rsid w:val="48BA3284"/>
    <w:rsid w:val="48CB1CC0"/>
    <w:rsid w:val="48E66D59"/>
    <w:rsid w:val="49013C23"/>
    <w:rsid w:val="490A52ED"/>
    <w:rsid w:val="490C3583"/>
    <w:rsid w:val="49163580"/>
    <w:rsid w:val="491E6E1E"/>
    <w:rsid w:val="491F7F64"/>
    <w:rsid w:val="492A1BD4"/>
    <w:rsid w:val="49582843"/>
    <w:rsid w:val="49733467"/>
    <w:rsid w:val="49A418F2"/>
    <w:rsid w:val="49AD5BED"/>
    <w:rsid w:val="49BE170B"/>
    <w:rsid w:val="49C8100A"/>
    <w:rsid w:val="49FD4166"/>
    <w:rsid w:val="49FF2037"/>
    <w:rsid w:val="4A0A7F62"/>
    <w:rsid w:val="4A1D00AC"/>
    <w:rsid w:val="4A270A04"/>
    <w:rsid w:val="4A36625B"/>
    <w:rsid w:val="4A414188"/>
    <w:rsid w:val="4A47591B"/>
    <w:rsid w:val="4A4C4C82"/>
    <w:rsid w:val="4A6F608D"/>
    <w:rsid w:val="4A767F31"/>
    <w:rsid w:val="4A885CE1"/>
    <w:rsid w:val="4A9452E5"/>
    <w:rsid w:val="4A9F2D3A"/>
    <w:rsid w:val="4ABA66FB"/>
    <w:rsid w:val="4ABE4F66"/>
    <w:rsid w:val="4ABF0894"/>
    <w:rsid w:val="4ACC37A5"/>
    <w:rsid w:val="4ADA0BDD"/>
    <w:rsid w:val="4ADB4E28"/>
    <w:rsid w:val="4ADC40E1"/>
    <w:rsid w:val="4ADF16B3"/>
    <w:rsid w:val="4AF16114"/>
    <w:rsid w:val="4AF75899"/>
    <w:rsid w:val="4B016AF9"/>
    <w:rsid w:val="4B170E1E"/>
    <w:rsid w:val="4B1A46C6"/>
    <w:rsid w:val="4B2517BD"/>
    <w:rsid w:val="4B333D7A"/>
    <w:rsid w:val="4B3422A0"/>
    <w:rsid w:val="4B423A85"/>
    <w:rsid w:val="4B431506"/>
    <w:rsid w:val="4B4D3A8C"/>
    <w:rsid w:val="4B515A7A"/>
    <w:rsid w:val="4B5523AC"/>
    <w:rsid w:val="4B693CDC"/>
    <w:rsid w:val="4B6F57B6"/>
    <w:rsid w:val="4BB31E0A"/>
    <w:rsid w:val="4BC60804"/>
    <w:rsid w:val="4BC74E08"/>
    <w:rsid w:val="4BCF4885"/>
    <w:rsid w:val="4BD07997"/>
    <w:rsid w:val="4BDF3E16"/>
    <w:rsid w:val="4BF722AF"/>
    <w:rsid w:val="4C1003D8"/>
    <w:rsid w:val="4C1705E5"/>
    <w:rsid w:val="4C203473"/>
    <w:rsid w:val="4C2F2351"/>
    <w:rsid w:val="4C352DA8"/>
    <w:rsid w:val="4C366477"/>
    <w:rsid w:val="4C376F62"/>
    <w:rsid w:val="4C381F65"/>
    <w:rsid w:val="4C6E6BF7"/>
    <w:rsid w:val="4C6F66E5"/>
    <w:rsid w:val="4C786851"/>
    <w:rsid w:val="4C942881"/>
    <w:rsid w:val="4CAE507C"/>
    <w:rsid w:val="4CAF266F"/>
    <w:rsid w:val="4CB229E2"/>
    <w:rsid w:val="4CC13ECD"/>
    <w:rsid w:val="4CD020F9"/>
    <w:rsid w:val="4D0B17EF"/>
    <w:rsid w:val="4D0E4802"/>
    <w:rsid w:val="4D2F7723"/>
    <w:rsid w:val="4D406BD1"/>
    <w:rsid w:val="4D5047B5"/>
    <w:rsid w:val="4D576F61"/>
    <w:rsid w:val="4D605A45"/>
    <w:rsid w:val="4D76573F"/>
    <w:rsid w:val="4D7E6C33"/>
    <w:rsid w:val="4D831E51"/>
    <w:rsid w:val="4D942472"/>
    <w:rsid w:val="4DA44E4F"/>
    <w:rsid w:val="4DAA4C62"/>
    <w:rsid w:val="4DAD5FAE"/>
    <w:rsid w:val="4DCE74AD"/>
    <w:rsid w:val="4DF521AC"/>
    <w:rsid w:val="4E0A2800"/>
    <w:rsid w:val="4E0D58C8"/>
    <w:rsid w:val="4E154828"/>
    <w:rsid w:val="4E222649"/>
    <w:rsid w:val="4E244D2D"/>
    <w:rsid w:val="4E5079C5"/>
    <w:rsid w:val="4E5C1FD5"/>
    <w:rsid w:val="4E623BD3"/>
    <w:rsid w:val="4E7906E7"/>
    <w:rsid w:val="4E837C45"/>
    <w:rsid w:val="4E993495"/>
    <w:rsid w:val="4EA30D9D"/>
    <w:rsid w:val="4EA31AE4"/>
    <w:rsid w:val="4EB2058C"/>
    <w:rsid w:val="4EB60C48"/>
    <w:rsid w:val="4EDE147E"/>
    <w:rsid w:val="4EEA3967"/>
    <w:rsid w:val="4EEF1B44"/>
    <w:rsid w:val="4F0A27C3"/>
    <w:rsid w:val="4F0F005F"/>
    <w:rsid w:val="4F165D52"/>
    <w:rsid w:val="4F190BD2"/>
    <w:rsid w:val="4F1D369F"/>
    <w:rsid w:val="4F213A90"/>
    <w:rsid w:val="4F290247"/>
    <w:rsid w:val="4F323CD2"/>
    <w:rsid w:val="4F332C0A"/>
    <w:rsid w:val="4F433DC8"/>
    <w:rsid w:val="4F4510BC"/>
    <w:rsid w:val="4F4B51A5"/>
    <w:rsid w:val="4F545D86"/>
    <w:rsid w:val="4F896D46"/>
    <w:rsid w:val="4F974D24"/>
    <w:rsid w:val="4FA14EEC"/>
    <w:rsid w:val="4FA84227"/>
    <w:rsid w:val="4FC231DA"/>
    <w:rsid w:val="4FE223EE"/>
    <w:rsid w:val="4FE3097A"/>
    <w:rsid w:val="4FFD3A77"/>
    <w:rsid w:val="501F59A7"/>
    <w:rsid w:val="503642D7"/>
    <w:rsid w:val="503D3F59"/>
    <w:rsid w:val="504C7CCA"/>
    <w:rsid w:val="50650862"/>
    <w:rsid w:val="50681179"/>
    <w:rsid w:val="50812723"/>
    <w:rsid w:val="50864F3F"/>
    <w:rsid w:val="5091713A"/>
    <w:rsid w:val="5095674A"/>
    <w:rsid w:val="50A01EE7"/>
    <w:rsid w:val="50A070FC"/>
    <w:rsid w:val="50A6221C"/>
    <w:rsid w:val="50AC4C20"/>
    <w:rsid w:val="50B61B8B"/>
    <w:rsid w:val="50C13C5F"/>
    <w:rsid w:val="50C16C1C"/>
    <w:rsid w:val="50C577D9"/>
    <w:rsid w:val="50DD17B8"/>
    <w:rsid w:val="50E00158"/>
    <w:rsid w:val="50E8434B"/>
    <w:rsid w:val="50F0291C"/>
    <w:rsid w:val="50F5073D"/>
    <w:rsid w:val="51183F80"/>
    <w:rsid w:val="51286AE9"/>
    <w:rsid w:val="512B131B"/>
    <w:rsid w:val="514946EA"/>
    <w:rsid w:val="515B2086"/>
    <w:rsid w:val="516C5BB7"/>
    <w:rsid w:val="51881606"/>
    <w:rsid w:val="518E2820"/>
    <w:rsid w:val="51AC5137"/>
    <w:rsid w:val="51B4195C"/>
    <w:rsid w:val="51B463DB"/>
    <w:rsid w:val="51C24E31"/>
    <w:rsid w:val="51C31254"/>
    <w:rsid w:val="51C979DD"/>
    <w:rsid w:val="51D20DCB"/>
    <w:rsid w:val="520A22AE"/>
    <w:rsid w:val="521974CD"/>
    <w:rsid w:val="522143CD"/>
    <w:rsid w:val="52247A0F"/>
    <w:rsid w:val="52385792"/>
    <w:rsid w:val="523D42DD"/>
    <w:rsid w:val="523F6AFF"/>
    <w:rsid w:val="524B2DC8"/>
    <w:rsid w:val="524F31BF"/>
    <w:rsid w:val="52514A0D"/>
    <w:rsid w:val="5273265C"/>
    <w:rsid w:val="527B5D61"/>
    <w:rsid w:val="52853336"/>
    <w:rsid w:val="52881D50"/>
    <w:rsid w:val="52991222"/>
    <w:rsid w:val="529B3EC4"/>
    <w:rsid w:val="529C6295"/>
    <w:rsid w:val="529C7876"/>
    <w:rsid w:val="52BC72D9"/>
    <w:rsid w:val="52DB19FD"/>
    <w:rsid w:val="52EE339D"/>
    <w:rsid w:val="530174D7"/>
    <w:rsid w:val="5306292A"/>
    <w:rsid w:val="530822C8"/>
    <w:rsid w:val="53317508"/>
    <w:rsid w:val="533E1E81"/>
    <w:rsid w:val="53445C3B"/>
    <w:rsid w:val="534B7333"/>
    <w:rsid w:val="536F3F83"/>
    <w:rsid w:val="53703E8D"/>
    <w:rsid w:val="53707DDE"/>
    <w:rsid w:val="537E0058"/>
    <w:rsid w:val="53943296"/>
    <w:rsid w:val="53950AA6"/>
    <w:rsid w:val="53B2385F"/>
    <w:rsid w:val="53C502CE"/>
    <w:rsid w:val="53D02F55"/>
    <w:rsid w:val="53E12D9E"/>
    <w:rsid w:val="53E64B1C"/>
    <w:rsid w:val="53E8652B"/>
    <w:rsid w:val="53EB486A"/>
    <w:rsid w:val="53EE23BF"/>
    <w:rsid w:val="53EE67E9"/>
    <w:rsid w:val="53FD1C03"/>
    <w:rsid w:val="54005B5D"/>
    <w:rsid w:val="54020BC2"/>
    <w:rsid w:val="540310FA"/>
    <w:rsid w:val="54037045"/>
    <w:rsid w:val="540817F6"/>
    <w:rsid w:val="541F77E0"/>
    <w:rsid w:val="54270E2A"/>
    <w:rsid w:val="543E515D"/>
    <w:rsid w:val="543F413B"/>
    <w:rsid w:val="5443534C"/>
    <w:rsid w:val="544B0D54"/>
    <w:rsid w:val="545114AC"/>
    <w:rsid w:val="54591CDE"/>
    <w:rsid w:val="545952F2"/>
    <w:rsid w:val="54625354"/>
    <w:rsid w:val="5469558C"/>
    <w:rsid w:val="54984A43"/>
    <w:rsid w:val="54B61E08"/>
    <w:rsid w:val="54C557E7"/>
    <w:rsid w:val="54C65EC0"/>
    <w:rsid w:val="54D43100"/>
    <w:rsid w:val="552760F6"/>
    <w:rsid w:val="552A09F4"/>
    <w:rsid w:val="5532296D"/>
    <w:rsid w:val="55452810"/>
    <w:rsid w:val="555154EE"/>
    <w:rsid w:val="558F4A1E"/>
    <w:rsid w:val="55942252"/>
    <w:rsid w:val="55987FBD"/>
    <w:rsid w:val="55B41C64"/>
    <w:rsid w:val="55E34DF9"/>
    <w:rsid w:val="55EC2897"/>
    <w:rsid w:val="55F0187C"/>
    <w:rsid w:val="55FA242D"/>
    <w:rsid w:val="5630640C"/>
    <w:rsid w:val="564B32E4"/>
    <w:rsid w:val="5652511E"/>
    <w:rsid w:val="5652573E"/>
    <w:rsid w:val="56543A0D"/>
    <w:rsid w:val="5658232F"/>
    <w:rsid w:val="56686EA1"/>
    <w:rsid w:val="566B01D5"/>
    <w:rsid w:val="566B50BC"/>
    <w:rsid w:val="56754367"/>
    <w:rsid w:val="56860213"/>
    <w:rsid w:val="569E1AC8"/>
    <w:rsid w:val="56A4132F"/>
    <w:rsid w:val="56AC279F"/>
    <w:rsid w:val="56AF2E6F"/>
    <w:rsid w:val="56BE671B"/>
    <w:rsid w:val="56D51F0A"/>
    <w:rsid w:val="56DF0963"/>
    <w:rsid w:val="56E00193"/>
    <w:rsid w:val="56E2575C"/>
    <w:rsid w:val="56F37D3E"/>
    <w:rsid w:val="56F473C0"/>
    <w:rsid w:val="56FD3D8C"/>
    <w:rsid w:val="57065F83"/>
    <w:rsid w:val="57097BE4"/>
    <w:rsid w:val="570B6550"/>
    <w:rsid w:val="570E1847"/>
    <w:rsid w:val="57196157"/>
    <w:rsid w:val="573434A1"/>
    <w:rsid w:val="57484C26"/>
    <w:rsid w:val="5758628A"/>
    <w:rsid w:val="57745BB6"/>
    <w:rsid w:val="57855787"/>
    <w:rsid w:val="578A1BF3"/>
    <w:rsid w:val="57B02739"/>
    <w:rsid w:val="57B439EF"/>
    <w:rsid w:val="57BD6C04"/>
    <w:rsid w:val="57C51573"/>
    <w:rsid w:val="57D6036B"/>
    <w:rsid w:val="57DE28CC"/>
    <w:rsid w:val="57FF606E"/>
    <w:rsid w:val="580032F4"/>
    <w:rsid w:val="580716CC"/>
    <w:rsid w:val="58220A26"/>
    <w:rsid w:val="58381DBD"/>
    <w:rsid w:val="58382405"/>
    <w:rsid w:val="58394C38"/>
    <w:rsid w:val="58423CCA"/>
    <w:rsid w:val="584B7C06"/>
    <w:rsid w:val="58510290"/>
    <w:rsid w:val="58553578"/>
    <w:rsid w:val="58553705"/>
    <w:rsid w:val="5855370B"/>
    <w:rsid w:val="58570D1A"/>
    <w:rsid w:val="58590F71"/>
    <w:rsid w:val="58A80E04"/>
    <w:rsid w:val="58B31DD9"/>
    <w:rsid w:val="58B91125"/>
    <w:rsid w:val="58BE2FA8"/>
    <w:rsid w:val="58C52932"/>
    <w:rsid w:val="58C64CF3"/>
    <w:rsid w:val="58CB3B78"/>
    <w:rsid w:val="58D21B64"/>
    <w:rsid w:val="590D2328"/>
    <w:rsid w:val="590F51DD"/>
    <w:rsid w:val="591E2294"/>
    <w:rsid w:val="59232C0B"/>
    <w:rsid w:val="593A62F9"/>
    <w:rsid w:val="594B4FD2"/>
    <w:rsid w:val="594D06B7"/>
    <w:rsid w:val="597A115C"/>
    <w:rsid w:val="598A5B73"/>
    <w:rsid w:val="598D03EC"/>
    <w:rsid w:val="598D6E21"/>
    <w:rsid w:val="598D7696"/>
    <w:rsid w:val="599C0038"/>
    <w:rsid w:val="599F6487"/>
    <w:rsid w:val="59B377F3"/>
    <w:rsid w:val="59B6573E"/>
    <w:rsid w:val="59C43D4D"/>
    <w:rsid w:val="59C83A39"/>
    <w:rsid w:val="59FB18DA"/>
    <w:rsid w:val="5A160FDB"/>
    <w:rsid w:val="5A261DCD"/>
    <w:rsid w:val="5A361544"/>
    <w:rsid w:val="5A3F108A"/>
    <w:rsid w:val="5A491507"/>
    <w:rsid w:val="5A5B363C"/>
    <w:rsid w:val="5A6D76C0"/>
    <w:rsid w:val="5A723A0D"/>
    <w:rsid w:val="5A762255"/>
    <w:rsid w:val="5A833B0D"/>
    <w:rsid w:val="5A9D621A"/>
    <w:rsid w:val="5AB17106"/>
    <w:rsid w:val="5AB864BE"/>
    <w:rsid w:val="5AC219D6"/>
    <w:rsid w:val="5AC94301"/>
    <w:rsid w:val="5ACF40CD"/>
    <w:rsid w:val="5AE67733"/>
    <w:rsid w:val="5AFD3B96"/>
    <w:rsid w:val="5B0C640C"/>
    <w:rsid w:val="5B170C5D"/>
    <w:rsid w:val="5B2D305D"/>
    <w:rsid w:val="5B443E9C"/>
    <w:rsid w:val="5B4C1057"/>
    <w:rsid w:val="5B53327E"/>
    <w:rsid w:val="5B707739"/>
    <w:rsid w:val="5B7D7957"/>
    <w:rsid w:val="5B830BC2"/>
    <w:rsid w:val="5B956906"/>
    <w:rsid w:val="5B987E52"/>
    <w:rsid w:val="5BAB48F4"/>
    <w:rsid w:val="5BCE4EA4"/>
    <w:rsid w:val="5BD209C4"/>
    <w:rsid w:val="5BD637EC"/>
    <w:rsid w:val="5BDE5A43"/>
    <w:rsid w:val="5BE0323A"/>
    <w:rsid w:val="5BE80ED6"/>
    <w:rsid w:val="5C1A362B"/>
    <w:rsid w:val="5C1B7F5F"/>
    <w:rsid w:val="5C2D3BC9"/>
    <w:rsid w:val="5C34166A"/>
    <w:rsid w:val="5C4A36B7"/>
    <w:rsid w:val="5C4E44D4"/>
    <w:rsid w:val="5C5552A6"/>
    <w:rsid w:val="5C7F58F3"/>
    <w:rsid w:val="5C80234E"/>
    <w:rsid w:val="5CC83DC7"/>
    <w:rsid w:val="5CD7479C"/>
    <w:rsid w:val="5CE536CF"/>
    <w:rsid w:val="5CE568F8"/>
    <w:rsid w:val="5CF33064"/>
    <w:rsid w:val="5D013D09"/>
    <w:rsid w:val="5D0576C4"/>
    <w:rsid w:val="5D203E5D"/>
    <w:rsid w:val="5D230368"/>
    <w:rsid w:val="5D255730"/>
    <w:rsid w:val="5D424AC5"/>
    <w:rsid w:val="5D5667E0"/>
    <w:rsid w:val="5D580881"/>
    <w:rsid w:val="5D6261CB"/>
    <w:rsid w:val="5DA13534"/>
    <w:rsid w:val="5DC9382F"/>
    <w:rsid w:val="5DCB56EC"/>
    <w:rsid w:val="5DD14279"/>
    <w:rsid w:val="5DE448D2"/>
    <w:rsid w:val="5DF441FF"/>
    <w:rsid w:val="5E057AF6"/>
    <w:rsid w:val="5E1463C6"/>
    <w:rsid w:val="5E285722"/>
    <w:rsid w:val="5E3B4D31"/>
    <w:rsid w:val="5E3E65D1"/>
    <w:rsid w:val="5E4B7A1D"/>
    <w:rsid w:val="5E4D4830"/>
    <w:rsid w:val="5E4E1644"/>
    <w:rsid w:val="5E50050F"/>
    <w:rsid w:val="5E5D04EF"/>
    <w:rsid w:val="5E68591D"/>
    <w:rsid w:val="5E6F4AE3"/>
    <w:rsid w:val="5E731D18"/>
    <w:rsid w:val="5E736001"/>
    <w:rsid w:val="5E742249"/>
    <w:rsid w:val="5E986D1D"/>
    <w:rsid w:val="5E9E597C"/>
    <w:rsid w:val="5EA97C8F"/>
    <w:rsid w:val="5EBA6970"/>
    <w:rsid w:val="5EE11EB8"/>
    <w:rsid w:val="5F0936DE"/>
    <w:rsid w:val="5F171517"/>
    <w:rsid w:val="5F250070"/>
    <w:rsid w:val="5F3209BE"/>
    <w:rsid w:val="5F5B6A83"/>
    <w:rsid w:val="5F62295E"/>
    <w:rsid w:val="5F7D16C2"/>
    <w:rsid w:val="5F892553"/>
    <w:rsid w:val="5FAB77AE"/>
    <w:rsid w:val="5FB301BB"/>
    <w:rsid w:val="5FD04B62"/>
    <w:rsid w:val="5FFA6139"/>
    <w:rsid w:val="5FFB5E88"/>
    <w:rsid w:val="600A6271"/>
    <w:rsid w:val="601101FB"/>
    <w:rsid w:val="60357E4D"/>
    <w:rsid w:val="6046706E"/>
    <w:rsid w:val="60492B3E"/>
    <w:rsid w:val="60565E64"/>
    <w:rsid w:val="605E55CF"/>
    <w:rsid w:val="606A06BA"/>
    <w:rsid w:val="60747DCE"/>
    <w:rsid w:val="6089047C"/>
    <w:rsid w:val="608D4CE3"/>
    <w:rsid w:val="60A859A2"/>
    <w:rsid w:val="60AB29AA"/>
    <w:rsid w:val="60AC67BD"/>
    <w:rsid w:val="60AE372D"/>
    <w:rsid w:val="60C06489"/>
    <w:rsid w:val="60CD295D"/>
    <w:rsid w:val="60CE2A0E"/>
    <w:rsid w:val="61204933"/>
    <w:rsid w:val="612354B4"/>
    <w:rsid w:val="61351A56"/>
    <w:rsid w:val="613F62A8"/>
    <w:rsid w:val="61415F87"/>
    <w:rsid w:val="61561800"/>
    <w:rsid w:val="615A223E"/>
    <w:rsid w:val="615A4676"/>
    <w:rsid w:val="615B47A6"/>
    <w:rsid w:val="616435A6"/>
    <w:rsid w:val="619940E6"/>
    <w:rsid w:val="61A6014E"/>
    <w:rsid w:val="61B3236A"/>
    <w:rsid w:val="61D63921"/>
    <w:rsid w:val="61DB724C"/>
    <w:rsid w:val="61EE1B3B"/>
    <w:rsid w:val="61F439C5"/>
    <w:rsid w:val="61F443E9"/>
    <w:rsid w:val="62086520"/>
    <w:rsid w:val="62213533"/>
    <w:rsid w:val="62270D05"/>
    <w:rsid w:val="62297BF9"/>
    <w:rsid w:val="624102C0"/>
    <w:rsid w:val="62461BF2"/>
    <w:rsid w:val="624F5302"/>
    <w:rsid w:val="62607426"/>
    <w:rsid w:val="626C2AFF"/>
    <w:rsid w:val="62762D19"/>
    <w:rsid w:val="62865532"/>
    <w:rsid w:val="62867444"/>
    <w:rsid w:val="629B54AE"/>
    <w:rsid w:val="629D7EE8"/>
    <w:rsid w:val="62A734E8"/>
    <w:rsid w:val="62AE7A21"/>
    <w:rsid w:val="62C73A65"/>
    <w:rsid w:val="62C7491F"/>
    <w:rsid w:val="62C906B0"/>
    <w:rsid w:val="62CD0ED6"/>
    <w:rsid w:val="62D50998"/>
    <w:rsid w:val="62D8753A"/>
    <w:rsid w:val="62E7507D"/>
    <w:rsid w:val="62F67597"/>
    <w:rsid w:val="630C0C8E"/>
    <w:rsid w:val="630C34D0"/>
    <w:rsid w:val="631E48B7"/>
    <w:rsid w:val="6322080B"/>
    <w:rsid w:val="635F6BBD"/>
    <w:rsid w:val="63785DBF"/>
    <w:rsid w:val="638F7AFC"/>
    <w:rsid w:val="639215D8"/>
    <w:rsid w:val="63A36BE5"/>
    <w:rsid w:val="63C04B8A"/>
    <w:rsid w:val="63D42229"/>
    <w:rsid w:val="63D8474D"/>
    <w:rsid w:val="63DB746A"/>
    <w:rsid w:val="63E5033D"/>
    <w:rsid w:val="63EC46A4"/>
    <w:rsid w:val="63EE162B"/>
    <w:rsid w:val="63F75B8A"/>
    <w:rsid w:val="640310C7"/>
    <w:rsid w:val="640806F9"/>
    <w:rsid w:val="64155C8D"/>
    <w:rsid w:val="641B0760"/>
    <w:rsid w:val="641E1DE4"/>
    <w:rsid w:val="64203CB4"/>
    <w:rsid w:val="64222857"/>
    <w:rsid w:val="642C6B67"/>
    <w:rsid w:val="64335EB1"/>
    <w:rsid w:val="64433CD0"/>
    <w:rsid w:val="64495F72"/>
    <w:rsid w:val="644B25BC"/>
    <w:rsid w:val="645D7798"/>
    <w:rsid w:val="647F6D16"/>
    <w:rsid w:val="6498217B"/>
    <w:rsid w:val="64987FF4"/>
    <w:rsid w:val="64CF10CC"/>
    <w:rsid w:val="64D0513C"/>
    <w:rsid w:val="64D320D2"/>
    <w:rsid w:val="64DE698B"/>
    <w:rsid w:val="64E1370A"/>
    <w:rsid w:val="64EB1866"/>
    <w:rsid w:val="64F702F2"/>
    <w:rsid w:val="651424EE"/>
    <w:rsid w:val="65257BC1"/>
    <w:rsid w:val="65287A29"/>
    <w:rsid w:val="65537EF9"/>
    <w:rsid w:val="655E1155"/>
    <w:rsid w:val="655F4773"/>
    <w:rsid w:val="65636455"/>
    <w:rsid w:val="65732FC9"/>
    <w:rsid w:val="65A240BE"/>
    <w:rsid w:val="65A273A9"/>
    <w:rsid w:val="65AE5114"/>
    <w:rsid w:val="65AE59DE"/>
    <w:rsid w:val="65B22C79"/>
    <w:rsid w:val="65B61DD9"/>
    <w:rsid w:val="65BB5075"/>
    <w:rsid w:val="65BC102A"/>
    <w:rsid w:val="65C76D0B"/>
    <w:rsid w:val="65CB5A52"/>
    <w:rsid w:val="65D23BC4"/>
    <w:rsid w:val="660B76A8"/>
    <w:rsid w:val="662861DC"/>
    <w:rsid w:val="66286B79"/>
    <w:rsid w:val="66306F43"/>
    <w:rsid w:val="66326E97"/>
    <w:rsid w:val="663F4723"/>
    <w:rsid w:val="664615E7"/>
    <w:rsid w:val="665265F4"/>
    <w:rsid w:val="665D487D"/>
    <w:rsid w:val="668A0DFC"/>
    <w:rsid w:val="66943E18"/>
    <w:rsid w:val="6699652A"/>
    <w:rsid w:val="66A562F6"/>
    <w:rsid w:val="66A93110"/>
    <w:rsid w:val="66AC664F"/>
    <w:rsid w:val="66AF2B2C"/>
    <w:rsid w:val="66C83F2C"/>
    <w:rsid w:val="66EB1F18"/>
    <w:rsid w:val="66F0190D"/>
    <w:rsid w:val="67064E16"/>
    <w:rsid w:val="672833FF"/>
    <w:rsid w:val="673832E7"/>
    <w:rsid w:val="67447CAA"/>
    <w:rsid w:val="67603184"/>
    <w:rsid w:val="676569B0"/>
    <w:rsid w:val="67662B31"/>
    <w:rsid w:val="676E53AF"/>
    <w:rsid w:val="6772565E"/>
    <w:rsid w:val="677C3451"/>
    <w:rsid w:val="679C72E6"/>
    <w:rsid w:val="679D7D9D"/>
    <w:rsid w:val="679E1AB6"/>
    <w:rsid w:val="67A16316"/>
    <w:rsid w:val="67B52945"/>
    <w:rsid w:val="67B84A87"/>
    <w:rsid w:val="67D5396B"/>
    <w:rsid w:val="67E24A58"/>
    <w:rsid w:val="67E967D4"/>
    <w:rsid w:val="67EA1DE2"/>
    <w:rsid w:val="67F51F5D"/>
    <w:rsid w:val="67FB68A8"/>
    <w:rsid w:val="681C0F9C"/>
    <w:rsid w:val="68280A59"/>
    <w:rsid w:val="682E6A6C"/>
    <w:rsid w:val="6840401D"/>
    <w:rsid w:val="6844471E"/>
    <w:rsid w:val="68446C9C"/>
    <w:rsid w:val="685448E5"/>
    <w:rsid w:val="68567ADB"/>
    <w:rsid w:val="685A52F7"/>
    <w:rsid w:val="686301D2"/>
    <w:rsid w:val="686F32ED"/>
    <w:rsid w:val="68763CFB"/>
    <w:rsid w:val="68775B46"/>
    <w:rsid w:val="68AB1911"/>
    <w:rsid w:val="68AC7864"/>
    <w:rsid w:val="68BD141F"/>
    <w:rsid w:val="68C2312F"/>
    <w:rsid w:val="68CC74D0"/>
    <w:rsid w:val="68DD058C"/>
    <w:rsid w:val="68E84B74"/>
    <w:rsid w:val="690300E6"/>
    <w:rsid w:val="691F004A"/>
    <w:rsid w:val="692563EE"/>
    <w:rsid w:val="692D6BB4"/>
    <w:rsid w:val="69456602"/>
    <w:rsid w:val="6965727E"/>
    <w:rsid w:val="69785369"/>
    <w:rsid w:val="69C62E9A"/>
    <w:rsid w:val="69D9569F"/>
    <w:rsid w:val="69EC201D"/>
    <w:rsid w:val="69F076EC"/>
    <w:rsid w:val="6A0C4C59"/>
    <w:rsid w:val="6A0C7811"/>
    <w:rsid w:val="6A0E77F1"/>
    <w:rsid w:val="6A3001E9"/>
    <w:rsid w:val="6A3B6DD7"/>
    <w:rsid w:val="6A4771FB"/>
    <w:rsid w:val="6A55161C"/>
    <w:rsid w:val="6A572BE8"/>
    <w:rsid w:val="6A65568E"/>
    <w:rsid w:val="6A6A6D65"/>
    <w:rsid w:val="6A8213EE"/>
    <w:rsid w:val="6A9553FE"/>
    <w:rsid w:val="6A9F48FD"/>
    <w:rsid w:val="6AC02AEF"/>
    <w:rsid w:val="6AC07030"/>
    <w:rsid w:val="6AC30E38"/>
    <w:rsid w:val="6AD0268E"/>
    <w:rsid w:val="6ADB66AC"/>
    <w:rsid w:val="6ADD74FD"/>
    <w:rsid w:val="6AF15601"/>
    <w:rsid w:val="6B3816B9"/>
    <w:rsid w:val="6B457289"/>
    <w:rsid w:val="6B4736DA"/>
    <w:rsid w:val="6B570F9E"/>
    <w:rsid w:val="6B613AB3"/>
    <w:rsid w:val="6B704D44"/>
    <w:rsid w:val="6B7A4A17"/>
    <w:rsid w:val="6B7F1BF6"/>
    <w:rsid w:val="6B9512FD"/>
    <w:rsid w:val="6BB554FE"/>
    <w:rsid w:val="6BB87BB7"/>
    <w:rsid w:val="6BC12EDC"/>
    <w:rsid w:val="6BCB65E9"/>
    <w:rsid w:val="6BDB3000"/>
    <w:rsid w:val="6BE255D8"/>
    <w:rsid w:val="6BE76A97"/>
    <w:rsid w:val="6BF056A3"/>
    <w:rsid w:val="6BF43FAF"/>
    <w:rsid w:val="6BFB78C8"/>
    <w:rsid w:val="6C1363EA"/>
    <w:rsid w:val="6C1F175D"/>
    <w:rsid w:val="6C236C77"/>
    <w:rsid w:val="6C3B602B"/>
    <w:rsid w:val="6C3E480C"/>
    <w:rsid w:val="6C4A348A"/>
    <w:rsid w:val="6C4A4478"/>
    <w:rsid w:val="6C5002D5"/>
    <w:rsid w:val="6C69343B"/>
    <w:rsid w:val="6C737CFB"/>
    <w:rsid w:val="6C777224"/>
    <w:rsid w:val="6C83219C"/>
    <w:rsid w:val="6C833B41"/>
    <w:rsid w:val="6C9803A4"/>
    <w:rsid w:val="6CA405A4"/>
    <w:rsid w:val="6CD323B8"/>
    <w:rsid w:val="6CF33107"/>
    <w:rsid w:val="6D243939"/>
    <w:rsid w:val="6D2F5EB0"/>
    <w:rsid w:val="6D3125B4"/>
    <w:rsid w:val="6D447778"/>
    <w:rsid w:val="6D4A5F2F"/>
    <w:rsid w:val="6D5F7732"/>
    <w:rsid w:val="6D620170"/>
    <w:rsid w:val="6D777E6B"/>
    <w:rsid w:val="6D84645E"/>
    <w:rsid w:val="6D8F437E"/>
    <w:rsid w:val="6D990245"/>
    <w:rsid w:val="6D997573"/>
    <w:rsid w:val="6DA026C8"/>
    <w:rsid w:val="6DAC5479"/>
    <w:rsid w:val="6DB46943"/>
    <w:rsid w:val="6DC62455"/>
    <w:rsid w:val="6DE4394A"/>
    <w:rsid w:val="6DED7696"/>
    <w:rsid w:val="6E035FBA"/>
    <w:rsid w:val="6E123F60"/>
    <w:rsid w:val="6E2E7FD1"/>
    <w:rsid w:val="6E5231A4"/>
    <w:rsid w:val="6E5A40EE"/>
    <w:rsid w:val="6E5C19CE"/>
    <w:rsid w:val="6E671D27"/>
    <w:rsid w:val="6E78772A"/>
    <w:rsid w:val="6E7D48F4"/>
    <w:rsid w:val="6E842069"/>
    <w:rsid w:val="6E9C16AF"/>
    <w:rsid w:val="6E9D390D"/>
    <w:rsid w:val="6EAC20D1"/>
    <w:rsid w:val="6EC44A40"/>
    <w:rsid w:val="6EE10B05"/>
    <w:rsid w:val="6F0472BB"/>
    <w:rsid w:val="6F1B6955"/>
    <w:rsid w:val="6F206808"/>
    <w:rsid w:val="6F322613"/>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E54985"/>
    <w:rsid w:val="6FEC7554"/>
    <w:rsid w:val="6FF1283A"/>
    <w:rsid w:val="700D5DEC"/>
    <w:rsid w:val="70563262"/>
    <w:rsid w:val="705873A3"/>
    <w:rsid w:val="70726F06"/>
    <w:rsid w:val="709910D5"/>
    <w:rsid w:val="709C35CE"/>
    <w:rsid w:val="70B26D33"/>
    <w:rsid w:val="70B54946"/>
    <w:rsid w:val="70D216D3"/>
    <w:rsid w:val="70D9122B"/>
    <w:rsid w:val="70F63584"/>
    <w:rsid w:val="71013AC4"/>
    <w:rsid w:val="71306040"/>
    <w:rsid w:val="71534AAE"/>
    <w:rsid w:val="7158431A"/>
    <w:rsid w:val="71613AEC"/>
    <w:rsid w:val="716C54B9"/>
    <w:rsid w:val="717C638C"/>
    <w:rsid w:val="71896C8F"/>
    <w:rsid w:val="719B216D"/>
    <w:rsid w:val="71B752EE"/>
    <w:rsid w:val="71C66F16"/>
    <w:rsid w:val="71DB12A7"/>
    <w:rsid w:val="71E40223"/>
    <w:rsid w:val="72106F1F"/>
    <w:rsid w:val="722D57C7"/>
    <w:rsid w:val="723423C2"/>
    <w:rsid w:val="724062B5"/>
    <w:rsid w:val="724A0704"/>
    <w:rsid w:val="724F46F0"/>
    <w:rsid w:val="7255143F"/>
    <w:rsid w:val="726436E6"/>
    <w:rsid w:val="72700C83"/>
    <w:rsid w:val="727E6483"/>
    <w:rsid w:val="72843406"/>
    <w:rsid w:val="728453D5"/>
    <w:rsid w:val="72935827"/>
    <w:rsid w:val="729B79DD"/>
    <w:rsid w:val="72AC0DAF"/>
    <w:rsid w:val="72BB1BA7"/>
    <w:rsid w:val="72C773DB"/>
    <w:rsid w:val="72D051AC"/>
    <w:rsid w:val="72D05F60"/>
    <w:rsid w:val="72EB3D62"/>
    <w:rsid w:val="72ED426C"/>
    <w:rsid w:val="72F91A90"/>
    <w:rsid w:val="731C314C"/>
    <w:rsid w:val="73237AF4"/>
    <w:rsid w:val="732927A3"/>
    <w:rsid w:val="734333B2"/>
    <w:rsid w:val="73666CF1"/>
    <w:rsid w:val="7383558F"/>
    <w:rsid w:val="738B5FB1"/>
    <w:rsid w:val="73B02110"/>
    <w:rsid w:val="73CA3785"/>
    <w:rsid w:val="73CE0E30"/>
    <w:rsid w:val="73F95D4E"/>
    <w:rsid w:val="74044161"/>
    <w:rsid w:val="74194164"/>
    <w:rsid w:val="741C0ACA"/>
    <w:rsid w:val="742B0327"/>
    <w:rsid w:val="742D6B25"/>
    <w:rsid w:val="744446C4"/>
    <w:rsid w:val="74524A6C"/>
    <w:rsid w:val="745C1A87"/>
    <w:rsid w:val="745D46B6"/>
    <w:rsid w:val="74674908"/>
    <w:rsid w:val="747E2170"/>
    <w:rsid w:val="74994FF2"/>
    <w:rsid w:val="74A93ADB"/>
    <w:rsid w:val="74AB764B"/>
    <w:rsid w:val="74B86703"/>
    <w:rsid w:val="74BA0C6B"/>
    <w:rsid w:val="74BB501E"/>
    <w:rsid w:val="74EE31EA"/>
    <w:rsid w:val="74F039E8"/>
    <w:rsid w:val="74FA2880"/>
    <w:rsid w:val="75101C40"/>
    <w:rsid w:val="75225CBF"/>
    <w:rsid w:val="75350693"/>
    <w:rsid w:val="753B48E1"/>
    <w:rsid w:val="7546677D"/>
    <w:rsid w:val="754B2AC0"/>
    <w:rsid w:val="754D466C"/>
    <w:rsid w:val="754F4CC4"/>
    <w:rsid w:val="7554600D"/>
    <w:rsid w:val="756E0B0A"/>
    <w:rsid w:val="756F18B8"/>
    <w:rsid w:val="757031D9"/>
    <w:rsid w:val="75806983"/>
    <w:rsid w:val="75814167"/>
    <w:rsid w:val="75842DFC"/>
    <w:rsid w:val="758E0290"/>
    <w:rsid w:val="75A667A1"/>
    <w:rsid w:val="75B9416A"/>
    <w:rsid w:val="75BE0722"/>
    <w:rsid w:val="75C247F2"/>
    <w:rsid w:val="75CC7278"/>
    <w:rsid w:val="75CD7BB5"/>
    <w:rsid w:val="75D833A4"/>
    <w:rsid w:val="75ED7C1C"/>
    <w:rsid w:val="75F1698E"/>
    <w:rsid w:val="7616334A"/>
    <w:rsid w:val="762C54EE"/>
    <w:rsid w:val="76437D02"/>
    <w:rsid w:val="76442B95"/>
    <w:rsid w:val="765120A6"/>
    <w:rsid w:val="767F05D4"/>
    <w:rsid w:val="76A57736"/>
    <w:rsid w:val="76BF7D3D"/>
    <w:rsid w:val="76C52AEB"/>
    <w:rsid w:val="76D264D4"/>
    <w:rsid w:val="76D66A80"/>
    <w:rsid w:val="76E13C82"/>
    <w:rsid w:val="76E955C3"/>
    <w:rsid w:val="76FB26C3"/>
    <w:rsid w:val="76FD43AC"/>
    <w:rsid w:val="77123ACC"/>
    <w:rsid w:val="77247924"/>
    <w:rsid w:val="772B1B20"/>
    <w:rsid w:val="77510935"/>
    <w:rsid w:val="77533C64"/>
    <w:rsid w:val="77634F3B"/>
    <w:rsid w:val="77691105"/>
    <w:rsid w:val="778A3EDB"/>
    <w:rsid w:val="778E76B4"/>
    <w:rsid w:val="77D36332"/>
    <w:rsid w:val="77D62A56"/>
    <w:rsid w:val="77D75529"/>
    <w:rsid w:val="77E52DB0"/>
    <w:rsid w:val="77E62733"/>
    <w:rsid w:val="77F84B71"/>
    <w:rsid w:val="780E1955"/>
    <w:rsid w:val="781A23A0"/>
    <w:rsid w:val="781C021C"/>
    <w:rsid w:val="78293DC3"/>
    <w:rsid w:val="782D2D9B"/>
    <w:rsid w:val="783A6B2F"/>
    <w:rsid w:val="783F4F70"/>
    <w:rsid w:val="78542BE7"/>
    <w:rsid w:val="785B4C20"/>
    <w:rsid w:val="785D218D"/>
    <w:rsid w:val="788B1B55"/>
    <w:rsid w:val="78AB03F5"/>
    <w:rsid w:val="78AB4E34"/>
    <w:rsid w:val="78B8567C"/>
    <w:rsid w:val="78F37C03"/>
    <w:rsid w:val="78F7615B"/>
    <w:rsid w:val="78FD2962"/>
    <w:rsid w:val="79157D37"/>
    <w:rsid w:val="792C013A"/>
    <w:rsid w:val="792F4674"/>
    <w:rsid w:val="79307089"/>
    <w:rsid w:val="79373219"/>
    <w:rsid w:val="794A4288"/>
    <w:rsid w:val="794C7980"/>
    <w:rsid w:val="7954036F"/>
    <w:rsid w:val="7963139E"/>
    <w:rsid w:val="796A36B4"/>
    <w:rsid w:val="796F2A8D"/>
    <w:rsid w:val="797A39DC"/>
    <w:rsid w:val="798B23A6"/>
    <w:rsid w:val="79A04DFD"/>
    <w:rsid w:val="79A86542"/>
    <w:rsid w:val="79BE5E62"/>
    <w:rsid w:val="79D00261"/>
    <w:rsid w:val="79D72059"/>
    <w:rsid w:val="79D917F7"/>
    <w:rsid w:val="79E34D47"/>
    <w:rsid w:val="79EC33C3"/>
    <w:rsid w:val="7A195421"/>
    <w:rsid w:val="7A1C1793"/>
    <w:rsid w:val="7A1C4DC7"/>
    <w:rsid w:val="7A3A078E"/>
    <w:rsid w:val="7A3E119B"/>
    <w:rsid w:val="7A417F22"/>
    <w:rsid w:val="7A45124E"/>
    <w:rsid w:val="7A4928E9"/>
    <w:rsid w:val="7A4C7BCA"/>
    <w:rsid w:val="7A664EA9"/>
    <w:rsid w:val="7A7E555C"/>
    <w:rsid w:val="7A7F307F"/>
    <w:rsid w:val="7A850292"/>
    <w:rsid w:val="7A864059"/>
    <w:rsid w:val="7A991285"/>
    <w:rsid w:val="7AAC03BC"/>
    <w:rsid w:val="7AAE120D"/>
    <w:rsid w:val="7AB2157C"/>
    <w:rsid w:val="7AC179AB"/>
    <w:rsid w:val="7AC528C4"/>
    <w:rsid w:val="7AC77F5C"/>
    <w:rsid w:val="7ACE4545"/>
    <w:rsid w:val="7AE80992"/>
    <w:rsid w:val="7AE9752E"/>
    <w:rsid w:val="7AEC1055"/>
    <w:rsid w:val="7AF250BD"/>
    <w:rsid w:val="7AF51135"/>
    <w:rsid w:val="7AF6094A"/>
    <w:rsid w:val="7AFC2853"/>
    <w:rsid w:val="7AFE078F"/>
    <w:rsid w:val="7B0320BB"/>
    <w:rsid w:val="7B1E76B6"/>
    <w:rsid w:val="7B220D7A"/>
    <w:rsid w:val="7B2B5921"/>
    <w:rsid w:val="7B2D07A7"/>
    <w:rsid w:val="7B396E35"/>
    <w:rsid w:val="7B5204F9"/>
    <w:rsid w:val="7B612D94"/>
    <w:rsid w:val="7B615DFB"/>
    <w:rsid w:val="7B69538B"/>
    <w:rsid w:val="7B6E3852"/>
    <w:rsid w:val="7B745405"/>
    <w:rsid w:val="7B7E5E0A"/>
    <w:rsid w:val="7B89373C"/>
    <w:rsid w:val="7B8B54F1"/>
    <w:rsid w:val="7BCD7043"/>
    <w:rsid w:val="7BDA2B39"/>
    <w:rsid w:val="7BE114B4"/>
    <w:rsid w:val="7C0A4F8F"/>
    <w:rsid w:val="7C274E7E"/>
    <w:rsid w:val="7C280E42"/>
    <w:rsid w:val="7C4A7F77"/>
    <w:rsid w:val="7C7F4F3C"/>
    <w:rsid w:val="7C9C55B4"/>
    <w:rsid w:val="7CA544A2"/>
    <w:rsid w:val="7CA91615"/>
    <w:rsid w:val="7CB347D7"/>
    <w:rsid w:val="7CCD67D7"/>
    <w:rsid w:val="7CDB518C"/>
    <w:rsid w:val="7CE21673"/>
    <w:rsid w:val="7CE2570E"/>
    <w:rsid w:val="7CF45745"/>
    <w:rsid w:val="7D0E3538"/>
    <w:rsid w:val="7D1E37D2"/>
    <w:rsid w:val="7D4033FD"/>
    <w:rsid w:val="7D4D5856"/>
    <w:rsid w:val="7D537A55"/>
    <w:rsid w:val="7D737A9C"/>
    <w:rsid w:val="7D8234F7"/>
    <w:rsid w:val="7DAA16F6"/>
    <w:rsid w:val="7DCA2855"/>
    <w:rsid w:val="7DE14EF9"/>
    <w:rsid w:val="7DEF3EAB"/>
    <w:rsid w:val="7E183EEA"/>
    <w:rsid w:val="7E245663"/>
    <w:rsid w:val="7E440B2B"/>
    <w:rsid w:val="7E4A22B2"/>
    <w:rsid w:val="7E4F61B6"/>
    <w:rsid w:val="7E5022F4"/>
    <w:rsid w:val="7E6752B6"/>
    <w:rsid w:val="7E717A7B"/>
    <w:rsid w:val="7E720C01"/>
    <w:rsid w:val="7E80292D"/>
    <w:rsid w:val="7E84382C"/>
    <w:rsid w:val="7E855AE7"/>
    <w:rsid w:val="7E9D718F"/>
    <w:rsid w:val="7EA7411B"/>
    <w:rsid w:val="7EA874D5"/>
    <w:rsid w:val="7EAA0221"/>
    <w:rsid w:val="7EB02A3C"/>
    <w:rsid w:val="7EB714C1"/>
    <w:rsid w:val="7EB81375"/>
    <w:rsid w:val="7EC92354"/>
    <w:rsid w:val="7ED326C7"/>
    <w:rsid w:val="7F0A6F2E"/>
    <w:rsid w:val="7F1E459D"/>
    <w:rsid w:val="7F21551C"/>
    <w:rsid w:val="7F251450"/>
    <w:rsid w:val="7F381A47"/>
    <w:rsid w:val="7F3932D6"/>
    <w:rsid w:val="7F3B3199"/>
    <w:rsid w:val="7F3D07F6"/>
    <w:rsid w:val="7F4D23DA"/>
    <w:rsid w:val="7F613C7E"/>
    <w:rsid w:val="7F827F3A"/>
    <w:rsid w:val="7F912BF1"/>
    <w:rsid w:val="7FA4150B"/>
    <w:rsid w:val="7FCC65E5"/>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2"/>
    <w:qFormat/>
    <w:uiPriority w:val="0"/>
    <w:pPr>
      <w:ind w:left="1418" w:hanging="1418"/>
      <w:outlineLvl w:val="3"/>
    </w:pPr>
    <w:rPr>
      <w:sz w:val="24"/>
    </w:rPr>
  </w:style>
  <w:style w:type="paragraph" w:styleId="6">
    <w:name w:val="heading 5"/>
    <w:basedOn w:val="5"/>
    <w:next w:val="1"/>
    <w:link w:val="8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2">
    <w:name w:val="标题 4 Char"/>
    <w:link w:val="5"/>
    <w:qFormat/>
    <w:uiPriority w:val="0"/>
    <w:rPr>
      <w:sz w:val="24"/>
    </w:rPr>
  </w:style>
  <w:style w:type="character" w:customStyle="1" w:styleId="83">
    <w:name w:val="标题 5 Char"/>
    <w:link w:val="6"/>
    <w:qFormat/>
    <w:uiPriority w:val="0"/>
    <w:rPr>
      <w:sz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0</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2025-02-07T08:57:07Z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